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130DAF" w:rsidRDefault="00FF399E" w14:paraId="41D32D53" w14:textId="01E41473">
      <w:pPr>
        <w:shd w:val="clear" w:color="auto" w:fill="FFFFFF" w:themeFill="background1"/>
        <w:spacing w:before="0"/>
        <w:ind w:left="720"/>
        <w:rPr>
          <w:rFonts w:asciiTheme="majorHAnsi" w:hAnsiTheme="majorHAnsi" w:eastAsiaTheme="majorEastAsia" w:cstheme="majorBidi"/>
          <w:color w:val="202124"/>
        </w:rPr>
      </w:pPr>
      <w:r>
        <w:rPr>
          <w:rFonts w:asciiTheme="majorHAnsi" w:hAnsiTheme="majorHAnsi" w:eastAsiaTheme="majorEastAsia" w:cstheme="majorBidi"/>
          <w:color w:val="202124"/>
          <w:rtl/>
        </w:rPr>
        <w:t>‏</w:t>
      </w:r>
    </w:p>
    <w:p w:rsidR="00130DAF" w:rsidRDefault="00130DAF" w14:paraId="6CAF9488" w14:textId="52572E26">
      <w:pPr>
        <w:spacing w:before="0" w:after="0"/>
        <w:jc w:val="center"/>
        <w:rPr>
          <w:rFonts w:asciiTheme="majorHAnsi" w:hAnsiTheme="majorHAnsi" w:eastAsiaTheme="majorEastAsia" w:cstheme="majorBidi"/>
          <w:b/>
          <w:bCs/>
          <w:sz w:val="56"/>
          <w:szCs w:val="56"/>
        </w:rPr>
      </w:pPr>
    </w:p>
    <w:p w:rsidR="00130DAF" w:rsidRDefault="00FF399E" w14:paraId="547F570F" w14:textId="051250C7">
      <w:pPr>
        <w:spacing w:before="0" w:after="0"/>
        <w:jc w:val="center"/>
        <w:rPr>
          <w:rFonts w:asciiTheme="majorHAnsi" w:hAnsiTheme="majorHAnsi" w:eastAsiaTheme="majorEastAsia" w:cstheme="majorBidi"/>
          <w:b/>
          <w:bCs/>
          <w:sz w:val="72"/>
          <w:szCs w:val="72"/>
          <w:u w:val="single"/>
        </w:rPr>
      </w:pPr>
      <w:r>
        <w:rPr>
          <w:rFonts w:asciiTheme="majorHAnsi" w:hAnsiTheme="majorHAnsi" w:eastAsiaTheme="majorEastAsia" w:cstheme="majorBidi"/>
          <w:b/>
          <w:bCs/>
          <w:sz w:val="56"/>
          <w:szCs w:val="56"/>
        </w:rPr>
        <w:t>Secure Development Policy</w:t>
      </w:r>
    </w:p>
    <w:p w:rsidR="00130DAF" w:rsidRDefault="00FF399E" w14:paraId="1B8FFB2D" w14:textId="5B7EEE35">
      <w:pPr>
        <w:widowControl w:val="0"/>
        <w:spacing w:after="0"/>
        <w:jc w:val="center"/>
        <w:rPr>
          <w:rFonts w:asciiTheme="majorHAnsi" w:hAnsiTheme="majorHAnsi" w:eastAsiaTheme="majorEastAsia" w:cstheme="majorBidi"/>
          <w:sz w:val="32"/>
          <w:szCs w:val="32"/>
        </w:rPr>
      </w:pPr>
      <w:r>
        <w:rPr>
          <w:rFonts w:asciiTheme="majorHAnsi" w:hAnsiTheme="majorHAnsi" w:eastAsiaTheme="majorEastAsia" w:cstheme="majorBidi"/>
          <w:b/>
          <w:bCs/>
          <w:sz w:val="32"/>
          <w:szCs w:val="32"/>
        </w:rPr>
        <w:t>IS-P-003</w:t>
      </w:r>
    </w:p>
    <w:p w:rsidR="00130DAF" w:rsidRDefault="00130DAF" w14:paraId="443D81DD" w14:textId="07260015">
      <w:pPr>
        <w:spacing w:before="0" w:after="0"/>
        <w:jc w:val="center"/>
        <w:rPr>
          <w:rFonts w:asciiTheme="majorHAnsi" w:hAnsiTheme="majorHAnsi" w:eastAsiaTheme="majorEastAsia" w:cstheme="majorBidi"/>
          <w:b/>
          <w:bCs/>
          <w:sz w:val="72"/>
          <w:szCs w:val="72"/>
        </w:rPr>
      </w:pPr>
    </w:p>
    <w:p w:rsidR="00130DAF" w:rsidRDefault="00130DAF" w14:paraId="65881B5F" w14:textId="77777777">
      <w:pPr>
        <w:spacing w:before="0" w:after="0"/>
        <w:jc w:val="center"/>
        <w:rPr>
          <w:rFonts w:asciiTheme="majorHAnsi" w:hAnsiTheme="majorHAnsi" w:eastAsiaTheme="majorEastAsia" w:cstheme="majorBidi"/>
          <w:b/>
          <w:bCs/>
          <w:sz w:val="32"/>
          <w:szCs w:val="32"/>
        </w:rPr>
      </w:pPr>
    </w:p>
    <w:p w:rsidR="00130DAF" w:rsidRDefault="00130DAF" w14:paraId="318EEF8B" w14:textId="77777777">
      <w:pPr>
        <w:spacing w:before="0" w:after="0"/>
        <w:jc w:val="center"/>
        <w:rPr>
          <w:rFonts w:asciiTheme="majorHAnsi" w:hAnsiTheme="majorHAnsi" w:eastAsiaTheme="majorEastAsia" w:cstheme="majorBidi"/>
          <w:sz w:val="32"/>
          <w:szCs w:val="32"/>
        </w:rPr>
      </w:pPr>
    </w:p>
    <w:p w:rsidR="00130DAF" w:rsidRDefault="00130DAF" w14:paraId="33E853AB" w14:textId="77777777">
      <w:pPr>
        <w:spacing w:before="0" w:after="0"/>
        <w:jc w:val="center"/>
        <w:rPr>
          <w:rFonts w:asciiTheme="majorHAnsi" w:hAnsiTheme="majorHAnsi" w:eastAsiaTheme="majorEastAsia" w:cstheme="majorBidi"/>
          <w:sz w:val="24"/>
          <w:szCs w:val="24"/>
        </w:rPr>
      </w:pPr>
    </w:p>
    <w:p w:rsidR="00130DAF" w:rsidRDefault="00130DAF" w14:paraId="72DEA1EE" w14:textId="390148E4">
      <w:pPr>
        <w:spacing w:before="0" w:after="0"/>
        <w:jc w:val="center"/>
        <w:rPr>
          <w:rFonts w:asciiTheme="majorHAnsi" w:hAnsiTheme="majorHAnsi" w:eastAsiaTheme="majorEastAsia" w:cstheme="majorBidi"/>
        </w:rPr>
      </w:pPr>
    </w:p>
    <w:p w:rsidR="00130DAF" w:rsidRDefault="00FF399E" w14:paraId="49500CC8" w14:textId="77777777">
      <w:pPr>
        <w:widowControl w:val="0"/>
        <w:spacing w:after="0"/>
        <w:rPr>
          <w:rFonts w:ascii="Calibri" w:hAnsi="Calibri" w:eastAsia="Calibri" w:cs="Calibri"/>
          <w:sz w:val="24"/>
          <w:szCs w:val="24"/>
        </w:rPr>
      </w:pPr>
      <w:r>
        <w:rPr>
          <w:rFonts w:ascii="Calibri" w:hAnsi="Calibri" w:eastAsia="Calibri" w:cs="Calibri"/>
          <w:sz w:val="24"/>
          <w:szCs w:val="24"/>
        </w:rPr>
        <w:t>Document Revision History:</w:t>
      </w:r>
    </w:p>
    <w:p w:rsidR="00130DAF" w:rsidRDefault="00130DAF" w14:paraId="3FEF57F6" w14:textId="77777777">
      <w:pPr>
        <w:widowControl w:val="0"/>
        <w:spacing w:after="0"/>
        <w:jc w:val="center"/>
        <w:rPr>
          <w:rFonts w:ascii="Calibri" w:hAnsi="Calibri" w:eastAsia="Calibri" w:cs="Calibri"/>
          <w:sz w:val="32"/>
          <w:szCs w:val="32"/>
        </w:rPr>
      </w:pPr>
    </w:p>
    <w:tbl>
      <w:tblPr>
        <w:tblStyle w:val="TableGrid"/>
        <w:tblW w:w="0" w:type="auto"/>
        <w:tblInd w:w="-120" w:type="dxa"/>
        <w:tblBorders>
          <w:top w:val="single" w:color="000000" w:sz="6" w:space="0"/>
          <w:left w:val="single" w:color="000000" w:sz="6" w:space="0"/>
          <w:bottom w:val="single" w:color="000000" w:sz="6" w:space="0"/>
          <w:right w:val="single" w:color="000000" w:sz="6" w:space="0"/>
        </w:tblBorders>
        <w:tblLook w:val="0000" w:firstRow="0" w:lastRow="0" w:firstColumn="0" w:lastColumn="0" w:noHBand="0" w:noVBand="0"/>
      </w:tblPr>
      <w:tblGrid>
        <w:gridCol w:w="1661"/>
        <w:gridCol w:w="1866"/>
        <w:gridCol w:w="1940"/>
        <w:gridCol w:w="1726"/>
        <w:gridCol w:w="2271"/>
      </w:tblGrid>
      <w:tr w:rsidR="00130DAF" w:rsidTr="66045650" w14:paraId="6E8149C3" w14:textId="77777777">
        <w:trPr>
          <w:trHeight w:val="300"/>
        </w:trPr>
        <w:tc>
          <w:tcPr>
            <w:tcW w:w="17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top w:w="0" w:type="dxa"/>
              <w:left w:w="90" w:type="dxa"/>
              <w:bottom w:w="0" w:type="dxa"/>
              <w:right w:w="90" w:type="dxa"/>
            </w:tcMar>
          </w:tcPr>
          <w:p w:rsidR="00130DAF" w:rsidRDefault="00FF399E" w14:paraId="126AEE25" w14:textId="77777777">
            <w:pPr>
              <w:jc w:val="center"/>
              <w:rPr>
                <w:rFonts w:ascii="Calibri" w:hAnsi="Calibri" w:eastAsia="Calibri" w:cs="Calibri"/>
                <w:sz w:val="24"/>
                <w:szCs w:val="24"/>
              </w:rPr>
            </w:pPr>
            <w:r>
              <w:rPr>
                <w:rFonts w:ascii="Calibri" w:hAnsi="Calibri" w:eastAsia="Calibri" w:cs="Calibri"/>
                <w:b/>
                <w:bCs/>
                <w:sz w:val="24"/>
                <w:szCs w:val="24"/>
              </w:rPr>
              <w:t>AUTHOR</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top w:w="0" w:type="dxa"/>
              <w:left w:w="90" w:type="dxa"/>
              <w:bottom w:w="0" w:type="dxa"/>
              <w:right w:w="90" w:type="dxa"/>
            </w:tcMar>
          </w:tcPr>
          <w:p w:rsidR="00130DAF" w:rsidRDefault="00FF399E" w14:paraId="420C4F94" w14:textId="77777777">
            <w:pPr>
              <w:jc w:val="center"/>
              <w:rPr>
                <w:rFonts w:ascii="Calibri" w:hAnsi="Calibri" w:eastAsia="Calibri" w:cs="Calibri"/>
                <w:sz w:val="24"/>
                <w:szCs w:val="24"/>
              </w:rPr>
            </w:pPr>
            <w:r>
              <w:rPr>
                <w:rFonts w:ascii="Calibri" w:hAnsi="Calibri" w:eastAsia="Calibri" w:cs="Calibri"/>
                <w:b/>
                <w:bCs/>
                <w:sz w:val="24"/>
                <w:szCs w:val="24"/>
              </w:rPr>
              <w:t>REVISION</w:t>
            </w: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top w:w="0" w:type="dxa"/>
              <w:left w:w="90" w:type="dxa"/>
              <w:bottom w:w="0" w:type="dxa"/>
              <w:right w:w="90" w:type="dxa"/>
            </w:tcMar>
          </w:tcPr>
          <w:p w:rsidR="00130DAF" w:rsidRDefault="00FF399E" w14:paraId="5C8453AE" w14:textId="77777777">
            <w:pPr>
              <w:jc w:val="center"/>
              <w:rPr>
                <w:rFonts w:ascii="Calibri" w:hAnsi="Calibri" w:eastAsia="Calibri" w:cs="Calibri"/>
                <w:sz w:val="24"/>
                <w:szCs w:val="24"/>
              </w:rPr>
            </w:pPr>
            <w:r>
              <w:rPr>
                <w:rFonts w:ascii="Calibri" w:hAnsi="Calibri" w:eastAsia="Calibri" w:cs="Calibri"/>
                <w:b/>
                <w:bCs/>
                <w:sz w:val="24"/>
                <w:szCs w:val="24"/>
              </w:rPr>
              <w:t>COMMENTS</w:t>
            </w:r>
          </w:p>
        </w:tc>
        <w:tc>
          <w:tcPr>
            <w:tcW w:w="18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top w:w="0" w:type="dxa"/>
              <w:left w:w="90" w:type="dxa"/>
              <w:bottom w:w="0" w:type="dxa"/>
              <w:right w:w="90" w:type="dxa"/>
            </w:tcMar>
          </w:tcPr>
          <w:p w:rsidR="00130DAF" w:rsidRDefault="00FF399E" w14:paraId="2F410605" w14:textId="77777777">
            <w:pPr>
              <w:jc w:val="center"/>
              <w:rPr>
                <w:rFonts w:ascii="Calibri" w:hAnsi="Calibri" w:eastAsia="Calibri" w:cs="Calibri"/>
                <w:sz w:val="24"/>
                <w:szCs w:val="24"/>
              </w:rPr>
            </w:pPr>
            <w:r>
              <w:rPr>
                <w:rFonts w:ascii="Calibri" w:hAnsi="Calibri" w:eastAsia="Calibri" w:cs="Calibri"/>
                <w:b/>
                <w:bCs/>
                <w:sz w:val="24"/>
                <w:szCs w:val="24"/>
              </w:rPr>
              <w:t xml:space="preserve">DATE </w:t>
            </w: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2F2F2" w:themeFill="background1" w:themeFillShade="F2"/>
            <w:tcMar>
              <w:top w:w="0" w:type="dxa"/>
              <w:left w:w="90" w:type="dxa"/>
              <w:bottom w:w="0" w:type="dxa"/>
              <w:right w:w="90" w:type="dxa"/>
            </w:tcMar>
          </w:tcPr>
          <w:p w:rsidR="00130DAF" w:rsidRDefault="00FF399E" w14:paraId="008D0DF8" w14:textId="77777777">
            <w:pPr>
              <w:jc w:val="center"/>
              <w:rPr>
                <w:rFonts w:ascii="Calibri" w:hAnsi="Calibri" w:eastAsia="Calibri" w:cs="Calibri"/>
                <w:sz w:val="24"/>
                <w:szCs w:val="24"/>
              </w:rPr>
            </w:pPr>
            <w:r>
              <w:rPr>
                <w:rFonts w:ascii="Calibri" w:hAnsi="Calibri" w:eastAsia="Calibri" w:cs="Calibri"/>
                <w:b/>
                <w:bCs/>
                <w:sz w:val="24"/>
                <w:szCs w:val="24"/>
              </w:rPr>
              <w:t>Next Review</w:t>
            </w:r>
          </w:p>
        </w:tc>
      </w:tr>
      <w:tr w:rsidR="00130DAF" w:rsidTr="66045650" w14:paraId="4C1F5F66" w14:textId="77777777">
        <w:trPr>
          <w:trHeight w:val="300"/>
        </w:trPr>
        <w:tc>
          <w:tcPr>
            <w:tcW w:w="17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FF399E" w14:paraId="11268D31" w14:textId="77777777">
            <w:pPr>
              <w:jc w:val="center"/>
              <w:rPr>
                <w:rFonts w:ascii="Calibri" w:hAnsi="Calibri" w:eastAsia="Calibri" w:cs="Calibri"/>
                <w:sz w:val="24"/>
                <w:szCs w:val="24"/>
              </w:rPr>
            </w:pPr>
            <w:r>
              <w:rPr>
                <w:rFonts w:ascii="Calibri" w:hAnsi="Calibri" w:eastAsia="Calibri" w:cs="Calibri"/>
                <w:sz w:val="24"/>
                <w:szCs w:val="24"/>
              </w:rPr>
              <w:t>Mor Aroeti</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FF399E" w14:paraId="1E079FB0" w14:textId="77777777">
            <w:pPr>
              <w:ind w:left="34"/>
              <w:jc w:val="center"/>
              <w:rPr>
                <w:rFonts w:ascii="Calibri" w:hAnsi="Calibri" w:eastAsia="Calibri" w:cs="Calibri"/>
                <w:sz w:val="24"/>
                <w:szCs w:val="24"/>
              </w:rPr>
            </w:pPr>
            <w:r>
              <w:rPr>
                <w:rFonts w:ascii="Calibri" w:hAnsi="Calibri" w:eastAsia="Calibri" w:cs="Calibri"/>
                <w:sz w:val="24"/>
                <w:szCs w:val="24"/>
              </w:rPr>
              <w:t>1.0</w:t>
            </w: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FF399E" w14:paraId="0CB98210" w14:textId="77777777">
            <w:pPr>
              <w:spacing w:before="0"/>
              <w:ind w:left="34" w:hanging="360"/>
              <w:jc w:val="center"/>
              <w:rPr>
                <w:rFonts w:ascii="Calibri" w:hAnsi="Calibri" w:eastAsia="Calibri" w:cs="Calibri"/>
                <w:sz w:val="24"/>
                <w:szCs w:val="24"/>
              </w:rPr>
            </w:pPr>
            <w:r>
              <w:rPr>
                <w:rFonts w:ascii="Calibri" w:hAnsi="Calibri" w:eastAsia="Calibri" w:cs="Calibri"/>
                <w:sz w:val="24"/>
                <w:szCs w:val="24"/>
              </w:rPr>
              <w:t>Initial Creation</w:t>
            </w:r>
          </w:p>
        </w:tc>
        <w:tc>
          <w:tcPr>
            <w:tcW w:w="18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FF399E" w14:paraId="3DE0B9CE" w14:textId="5C9230DF">
            <w:pPr>
              <w:ind w:left="34"/>
              <w:jc w:val="center"/>
              <w:rPr>
                <w:rFonts w:ascii="Calibri" w:hAnsi="Calibri" w:eastAsia="Calibri" w:cs="Calibri"/>
                <w:sz w:val="24"/>
                <w:szCs w:val="24"/>
              </w:rPr>
            </w:pPr>
            <w:r w:rsidRPr="66045650" w:rsidR="784159E8">
              <w:rPr>
                <w:rFonts w:ascii="Calibri" w:hAnsi="Calibri" w:eastAsia="Calibri" w:cs="Calibri"/>
                <w:sz w:val="24"/>
                <w:szCs w:val="24"/>
              </w:rPr>
              <w:t>27 Feb 2026</w:t>
            </w:r>
            <w:r w:rsidRPr="66045650" w:rsidR="00FF399E">
              <w:rPr>
                <w:rFonts w:ascii="Calibri" w:hAnsi="Calibri" w:eastAsia="Calibri" w:cs="Calibri"/>
                <w:sz w:val="24"/>
                <w:szCs w:val="24"/>
              </w:rPr>
            </w: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FF399E" w14:paraId="67D33874" w14:textId="77777777">
            <w:pPr>
              <w:ind w:left="34"/>
              <w:jc w:val="center"/>
              <w:rPr>
                <w:rFonts w:ascii="Calibri" w:hAnsi="Calibri" w:eastAsia="Calibri" w:cs="Calibri"/>
                <w:sz w:val="24"/>
                <w:szCs w:val="24"/>
              </w:rPr>
            </w:pPr>
            <w:r>
              <w:rPr>
                <w:rFonts w:ascii="Calibri" w:hAnsi="Calibri" w:eastAsia="Calibri" w:cs="Calibri"/>
                <w:sz w:val="24"/>
                <w:szCs w:val="24"/>
              </w:rPr>
              <w:t>15 Jan 2027</w:t>
            </w:r>
          </w:p>
        </w:tc>
      </w:tr>
      <w:tr w:rsidR="00130DAF" w:rsidTr="66045650" w14:paraId="672A6659" w14:textId="77777777">
        <w:trPr>
          <w:trHeight w:val="300"/>
        </w:trPr>
        <w:tc>
          <w:tcPr>
            <w:tcW w:w="17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1CAED8C4" w14:textId="77777777">
            <w:pPr>
              <w:jc w:val="center"/>
              <w:rPr>
                <w:rFonts w:ascii="Calibri" w:hAnsi="Calibri" w:eastAsia="Calibri" w:cs="Calibri"/>
                <w:sz w:val="24"/>
                <w:szCs w:val="24"/>
              </w:rPr>
            </w:pPr>
            <w:r>
              <w:t>Dekel Yaacov</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5DF05FBF" w14:textId="77777777">
            <w:pPr>
              <w:ind w:left="34"/>
              <w:jc w:val="center"/>
              <w:rPr>
                <w:rFonts w:ascii="Calibri" w:hAnsi="Calibri" w:eastAsia="Calibri" w:cs="Calibri"/>
                <w:sz w:val="24"/>
                <w:szCs w:val="24"/>
              </w:rPr>
            </w:pPr>
            <w:r>
              <w:t>1.1</w:t>
            </w: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40E07D1E" w14:textId="77777777">
            <w:pPr>
              <w:ind w:left="34"/>
              <w:jc w:val="center"/>
              <w:rPr>
                <w:rFonts w:ascii="Calibri" w:hAnsi="Calibri" w:eastAsia="Calibri" w:cs="Calibri"/>
                <w:sz w:val="24"/>
                <w:szCs w:val="24"/>
              </w:rPr>
            </w:pPr>
            <w:r>
              <w:t>Consistency updates: vulnerability SLAs, TLS, AWS references, date format</w:t>
            </w:r>
          </w:p>
        </w:tc>
        <w:tc>
          <w:tcPr>
            <w:tcW w:w="18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636ED4F2" w14:textId="77777777">
            <w:pPr>
              <w:ind w:left="34"/>
              <w:jc w:val="center"/>
              <w:rPr>
                <w:rFonts w:ascii="Calibri" w:hAnsi="Calibri" w:eastAsia="Calibri" w:cs="Calibri"/>
                <w:sz w:val="24"/>
                <w:szCs w:val="24"/>
              </w:rPr>
            </w:pPr>
            <w:r>
              <w:t>01 Oct 2026</w:t>
            </w: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516177B9" w14:textId="77777777">
            <w:pPr>
              <w:ind w:left="34"/>
              <w:jc w:val="center"/>
              <w:rPr>
                <w:rFonts w:ascii="Calibri" w:hAnsi="Calibri" w:eastAsia="Calibri" w:cs="Calibri"/>
                <w:sz w:val="24"/>
                <w:szCs w:val="24"/>
              </w:rPr>
            </w:pPr>
            <w:r>
              <w:t>15 Jan 2027</w:t>
            </w:r>
          </w:p>
        </w:tc>
      </w:tr>
      <w:tr w:rsidR="00130DAF" w:rsidTr="66045650" w14:paraId="0A37501D" w14:textId="77777777">
        <w:trPr>
          <w:trHeight w:val="300"/>
        </w:trPr>
        <w:tc>
          <w:tcPr>
            <w:tcW w:w="17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7FE14441" w14:textId="77777777">
            <w:pPr>
              <w:jc w:val="center"/>
              <w:rPr>
                <w:rFonts w:ascii="Calibri" w:hAnsi="Calibri" w:eastAsia="Calibri" w:cs="Calibri"/>
                <w:sz w:val="24"/>
                <w:szCs w:val="24"/>
              </w:rPr>
            </w:pP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01695405" w14:textId="77777777">
            <w:pPr>
              <w:ind w:left="34"/>
              <w:jc w:val="center"/>
              <w:rPr>
                <w:rFonts w:ascii="Calibri" w:hAnsi="Calibri" w:eastAsia="Calibri" w:cs="Calibri"/>
                <w:sz w:val="24"/>
                <w:szCs w:val="24"/>
              </w:rPr>
            </w:pP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6DF6C23A" w14:textId="77777777">
            <w:pPr>
              <w:ind w:left="34"/>
              <w:jc w:val="center"/>
              <w:rPr>
                <w:rFonts w:ascii="Calibri" w:hAnsi="Calibri" w:eastAsia="Calibri" w:cs="Calibri"/>
                <w:sz w:val="24"/>
                <w:szCs w:val="24"/>
              </w:rPr>
            </w:pPr>
          </w:p>
        </w:tc>
        <w:tc>
          <w:tcPr>
            <w:tcW w:w="18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0060F462" w14:textId="77777777">
            <w:pPr>
              <w:ind w:left="34"/>
              <w:jc w:val="center"/>
              <w:rPr>
                <w:rFonts w:ascii="Calibri" w:hAnsi="Calibri" w:eastAsia="Calibri" w:cs="Calibri"/>
                <w:sz w:val="24"/>
                <w:szCs w:val="24"/>
              </w:rPr>
            </w:pP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65D4C9FB" w14:textId="77777777">
            <w:pPr>
              <w:ind w:left="34"/>
              <w:jc w:val="center"/>
              <w:rPr>
                <w:rFonts w:ascii="Calibri" w:hAnsi="Calibri" w:eastAsia="Calibri" w:cs="Calibri"/>
                <w:sz w:val="24"/>
                <w:szCs w:val="24"/>
              </w:rPr>
            </w:pPr>
          </w:p>
        </w:tc>
      </w:tr>
      <w:tr w:rsidR="00130DAF" w:rsidTr="66045650" w14:paraId="5DAB6C7B" w14:textId="77777777">
        <w:trPr>
          <w:trHeight w:val="300"/>
        </w:trPr>
        <w:tc>
          <w:tcPr>
            <w:tcW w:w="17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39806C31" w14:textId="77777777">
            <w:pPr>
              <w:jc w:val="center"/>
              <w:rPr>
                <w:rFonts w:ascii="Calibri" w:hAnsi="Calibri" w:eastAsia="Calibri" w:cs="Calibri"/>
                <w:sz w:val="24"/>
                <w:szCs w:val="24"/>
              </w:rPr>
            </w:pP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18BDD8A1" w14:textId="77777777">
            <w:pPr>
              <w:ind w:left="34"/>
              <w:jc w:val="center"/>
              <w:rPr>
                <w:rFonts w:ascii="Calibri" w:hAnsi="Calibri" w:eastAsia="Calibri" w:cs="Calibri"/>
                <w:sz w:val="24"/>
                <w:szCs w:val="24"/>
              </w:rPr>
            </w:pP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105992E3" w14:textId="77777777">
            <w:pPr>
              <w:ind w:left="34"/>
              <w:jc w:val="center"/>
              <w:rPr>
                <w:rFonts w:ascii="Calibri" w:hAnsi="Calibri" w:eastAsia="Calibri" w:cs="Calibri"/>
                <w:sz w:val="24"/>
                <w:szCs w:val="24"/>
              </w:rPr>
            </w:pPr>
          </w:p>
        </w:tc>
        <w:tc>
          <w:tcPr>
            <w:tcW w:w="18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32F61849" w14:textId="77777777">
            <w:pPr>
              <w:ind w:left="34"/>
              <w:jc w:val="center"/>
              <w:rPr>
                <w:rFonts w:ascii="Calibri" w:hAnsi="Calibri" w:eastAsia="Calibri" w:cs="Calibri"/>
                <w:sz w:val="24"/>
                <w:szCs w:val="24"/>
              </w:rPr>
            </w:pP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0EF9A590" w14:textId="77777777">
            <w:pPr>
              <w:ind w:left="34"/>
              <w:jc w:val="center"/>
              <w:rPr>
                <w:rFonts w:ascii="Calibri" w:hAnsi="Calibri" w:eastAsia="Calibri" w:cs="Calibri"/>
                <w:sz w:val="24"/>
                <w:szCs w:val="24"/>
              </w:rPr>
            </w:pPr>
          </w:p>
        </w:tc>
      </w:tr>
      <w:tr w:rsidR="00130DAF" w:rsidTr="66045650" w14:paraId="02EB378F" w14:textId="77777777">
        <w:trPr>
          <w:trHeight w:val="300"/>
        </w:trPr>
        <w:tc>
          <w:tcPr>
            <w:tcW w:w="17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581C1A27" w14:textId="77777777">
            <w:pPr>
              <w:jc w:val="center"/>
              <w:rPr>
                <w:rFonts w:ascii="Calibri" w:hAnsi="Calibri" w:eastAsia="Calibri" w:cs="Calibri"/>
                <w:sz w:val="24"/>
                <w:szCs w:val="24"/>
              </w:rPr>
            </w:pP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425D202B" w14:textId="77777777">
            <w:pPr>
              <w:ind w:left="34"/>
              <w:jc w:val="center"/>
              <w:rPr>
                <w:rFonts w:ascii="Calibri" w:hAnsi="Calibri" w:eastAsia="Calibri" w:cs="Calibri"/>
                <w:sz w:val="24"/>
                <w:szCs w:val="24"/>
              </w:rPr>
            </w:pPr>
          </w:p>
        </w:tc>
        <w:tc>
          <w:tcPr>
            <w:tcW w:w="20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4CF48371" w14:textId="77777777">
            <w:pPr>
              <w:ind w:left="34"/>
              <w:jc w:val="center"/>
              <w:rPr>
                <w:rFonts w:ascii="Calibri" w:hAnsi="Calibri" w:eastAsia="Calibri" w:cs="Calibri"/>
                <w:sz w:val="24"/>
                <w:szCs w:val="24"/>
              </w:rPr>
            </w:pPr>
          </w:p>
        </w:tc>
        <w:tc>
          <w:tcPr>
            <w:tcW w:w="18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7E59B1E9" w14:textId="77777777">
            <w:pPr>
              <w:ind w:left="34"/>
              <w:jc w:val="center"/>
              <w:rPr>
                <w:rFonts w:ascii="Calibri" w:hAnsi="Calibri" w:eastAsia="Calibri" w:cs="Calibri"/>
                <w:sz w:val="24"/>
                <w:szCs w:val="24"/>
              </w:rPr>
            </w:pPr>
          </w:p>
        </w:tc>
        <w:tc>
          <w:tcPr>
            <w:tcW w:w="24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tcPr>
          <w:p w:rsidR="00130DAF" w:rsidRDefault="00130DAF" w14:paraId="18B01C69" w14:textId="77777777">
            <w:pPr>
              <w:ind w:left="34"/>
              <w:jc w:val="center"/>
              <w:rPr>
                <w:rFonts w:ascii="Calibri" w:hAnsi="Calibri" w:eastAsia="Calibri" w:cs="Calibri"/>
                <w:sz w:val="24"/>
                <w:szCs w:val="24"/>
              </w:rPr>
            </w:pPr>
          </w:p>
        </w:tc>
      </w:tr>
    </w:tbl>
    <w:p w:rsidR="00130DAF" w:rsidRDefault="00130DAF" w14:paraId="2847DAFB" w14:textId="77777777">
      <w:pPr>
        <w:widowControl w:val="0"/>
        <w:spacing w:after="0"/>
        <w:rPr>
          <w:rFonts w:ascii="Calibri" w:hAnsi="Calibri" w:eastAsia="Calibri" w:cs="Calibri"/>
        </w:rPr>
      </w:pPr>
    </w:p>
    <w:p w:rsidR="00130DAF" w:rsidRDefault="00FF399E" w14:paraId="068D11D0" w14:textId="77777777">
      <w:pPr>
        <w:widowControl w:val="0"/>
        <w:spacing w:after="0"/>
        <w:rPr>
          <w:rFonts w:ascii="Calibri" w:hAnsi="Calibri" w:eastAsia="Calibri" w:cs="Calibri"/>
        </w:rPr>
      </w:pPr>
      <w:r>
        <w:rPr>
          <w:rFonts w:ascii="Calibri" w:hAnsi="Calibri" w:eastAsia="Calibri" w:cs="Calibri"/>
        </w:rPr>
        <w:t>Review and Approvals</w:t>
      </w:r>
    </w:p>
    <w:p w:rsidR="00130DAF" w:rsidRDefault="00130DAF" w14:paraId="6D528787" w14:textId="77777777">
      <w:pPr>
        <w:widowControl w:val="0"/>
        <w:spacing w:after="0"/>
        <w:rPr>
          <w:rFonts w:ascii="Calibri" w:hAnsi="Calibri" w:eastAsia="Calibri" w:cs="Calibri"/>
        </w:rPr>
      </w:pPr>
    </w:p>
    <w:tbl>
      <w:tblPr>
        <w:tblStyle w:val="TableGrid"/>
        <w:tblW w:w="9330" w:type="dxa"/>
        <w:tblBorders>
          <w:top w:val="single" w:color="000000" w:themeColor="text1" w:sz="6" w:space="0"/>
          <w:left w:val="single" w:color="000000" w:themeColor="text1" w:sz="6" w:space="0"/>
          <w:bottom w:val="single" w:color="000000" w:themeColor="text1" w:sz="6" w:space="0"/>
          <w:right w:val="single" w:color="000000" w:themeColor="text1" w:sz="6" w:space="0"/>
        </w:tblBorders>
        <w:tblLook w:val="0000" w:firstRow="0" w:lastRow="0" w:firstColumn="0" w:lastColumn="0" w:noHBand="0" w:noVBand="0"/>
      </w:tblPr>
      <w:tblGrid>
        <w:gridCol w:w="2385"/>
        <w:gridCol w:w="3195"/>
        <w:gridCol w:w="1875"/>
        <w:gridCol w:w="1875"/>
      </w:tblGrid>
      <w:tr w:rsidR="00130DAF" w:rsidTr="48328EF1" w14:paraId="228B7090" w14:textId="77777777">
        <w:trPr>
          <w:trHeight w:val="300"/>
        </w:trPr>
        <w:tc>
          <w:tcPr>
            <w:tcW w:w="23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top w:w="0" w:type="dxa"/>
              <w:left w:w="90" w:type="dxa"/>
              <w:bottom w:w="0" w:type="dxa"/>
              <w:right w:w="90" w:type="dxa"/>
            </w:tcMar>
          </w:tcPr>
          <w:p w:rsidR="00130DAF" w:rsidRDefault="00FF399E" w14:paraId="0474DA70" w14:textId="77777777">
            <w:pPr>
              <w:widowControl w:val="0"/>
              <w:rPr>
                <w:rFonts w:ascii="Calibri" w:hAnsi="Calibri" w:eastAsia="Calibri" w:cs="Calibri"/>
              </w:rPr>
            </w:pPr>
            <w:r>
              <w:rPr>
                <w:rFonts w:ascii="Calibri" w:hAnsi="Calibri" w:eastAsia="Calibri" w:cs="Calibri"/>
                <w:b/>
                <w:bCs/>
              </w:rPr>
              <w:t xml:space="preserve">NAME  </w:t>
            </w:r>
          </w:p>
        </w:tc>
        <w:tc>
          <w:tcPr>
            <w:tcW w:w="31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top w:w="0" w:type="dxa"/>
              <w:left w:w="90" w:type="dxa"/>
              <w:bottom w:w="0" w:type="dxa"/>
              <w:right w:w="90" w:type="dxa"/>
            </w:tcMar>
          </w:tcPr>
          <w:p w:rsidR="00130DAF" w:rsidRDefault="00FF399E" w14:paraId="15006BF1" w14:textId="77777777">
            <w:pPr>
              <w:widowControl w:val="0"/>
              <w:rPr>
                <w:rFonts w:ascii="Calibri" w:hAnsi="Calibri" w:eastAsia="Calibri" w:cs="Calibri"/>
              </w:rPr>
            </w:pPr>
            <w:r>
              <w:rPr>
                <w:rFonts w:ascii="Calibri" w:hAnsi="Calibri" w:eastAsia="Calibri" w:cs="Calibri"/>
                <w:b/>
                <w:bCs/>
              </w:rPr>
              <w:t>TITLE</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top w:w="0" w:type="dxa"/>
              <w:left w:w="90" w:type="dxa"/>
              <w:bottom w:w="0" w:type="dxa"/>
              <w:right w:w="90" w:type="dxa"/>
            </w:tcMar>
          </w:tcPr>
          <w:p w:rsidR="00130DAF" w:rsidRDefault="00FF399E" w14:paraId="3341B7AB" w14:textId="77777777">
            <w:pPr>
              <w:widowControl w:val="0"/>
              <w:rPr>
                <w:rFonts w:ascii="Calibri" w:hAnsi="Calibri" w:eastAsia="Calibri" w:cs="Calibri"/>
              </w:rPr>
            </w:pPr>
            <w:r>
              <w:rPr>
                <w:rFonts w:ascii="Calibri" w:hAnsi="Calibri" w:eastAsia="Calibri" w:cs="Calibri"/>
                <w:b/>
                <w:bCs/>
              </w:rPr>
              <w:t>DATE</w:t>
            </w:r>
          </w:p>
        </w:tc>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top w:w="0" w:type="dxa"/>
              <w:left w:w="90" w:type="dxa"/>
              <w:bottom w:w="0" w:type="dxa"/>
              <w:right w:w="90" w:type="dxa"/>
            </w:tcMar>
          </w:tcPr>
          <w:p w:rsidR="27AF1092" w:rsidP="48328EF1" w:rsidRDefault="27AF1092" w14:paraId="7F0FD3F9" w14:textId="75FB48F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8328EF1" w:rsidR="27AF1092">
              <w:rPr>
                <w:rFonts w:ascii="Calibri" w:hAnsi="Calibri" w:eastAsia="Calibri" w:cs="Calibri"/>
                <w:b w:val="1"/>
                <w:bCs w:val="1"/>
                <w:i w:val="0"/>
                <w:iCs w:val="0"/>
                <w:caps w:val="0"/>
                <w:smallCaps w:val="0"/>
                <w:noProof w:val="0"/>
                <w:color w:val="000000" w:themeColor="text1" w:themeTint="FF" w:themeShade="FF"/>
                <w:sz w:val="22"/>
                <w:szCs w:val="22"/>
                <w:lang w:val="en-US"/>
              </w:rPr>
              <w:t>SIGNATURE</w:t>
            </w:r>
          </w:p>
        </w:tc>
      </w:tr>
      <w:tr w:rsidR="00130DAF" w:rsidTr="48328EF1" w14:paraId="4AAEC34C" w14:textId="77777777">
        <w:trPr>
          <w:trHeight w:val="300"/>
        </w:trPr>
        <w:tc>
          <w:tcPr>
            <w:tcW w:w="23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vAlign w:val="center"/>
          </w:tcPr>
          <w:p w:rsidR="00130DAF" w:rsidRDefault="00FF399E" w14:paraId="52344CF6" w14:textId="77777777">
            <w:pPr>
              <w:widowControl w:val="0"/>
              <w:jc w:val="center"/>
              <w:rPr>
                <w:rFonts w:ascii="Calibri" w:hAnsi="Calibri" w:eastAsia="Calibri" w:cs="Calibri"/>
                <w:sz w:val="24"/>
                <w:szCs w:val="24"/>
              </w:rPr>
            </w:pPr>
            <w:r>
              <w:rPr>
                <w:rFonts w:ascii="Calibri" w:hAnsi="Calibri" w:eastAsia="Calibri" w:cs="Calibri"/>
                <w:sz w:val="24"/>
                <w:szCs w:val="24"/>
              </w:rPr>
              <w:t>Dekel Yaacov</w:t>
            </w:r>
          </w:p>
        </w:tc>
        <w:tc>
          <w:tcPr>
            <w:tcW w:w="319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vAlign w:val="center"/>
          </w:tcPr>
          <w:p w:rsidR="00130DAF" w:rsidRDefault="00FF399E" w14:paraId="3B51AFD5" w14:textId="77777777">
            <w:pPr>
              <w:widowControl w:val="0"/>
              <w:jc w:val="center"/>
              <w:rPr>
                <w:rFonts w:ascii="Calibri" w:hAnsi="Calibri" w:eastAsia="Calibri" w:cs="Calibri"/>
                <w:sz w:val="24"/>
                <w:szCs w:val="24"/>
              </w:rPr>
            </w:pPr>
            <w:r>
              <w:rPr>
                <w:rFonts w:ascii="Calibri" w:hAnsi="Calibri" w:eastAsia="Calibri" w:cs="Calibri"/>
                <w:sz w:val="24"/>
                <w:szCs w:val="24"/>
                <w:lang w:val="en"/>
              </w:rPr>
              <w:t>CTO</w:t>
            </w:r>
          </w:p>
        </w:tc>
        <w:tc>
          <w:tcPr>
            <w:tcW w:w="18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90" w:type="dxa"/>
              <w:bottom w:w="0" w:type="dxa"/>
              <w:right w:w="90" w:type="dxa"/>
            </w:tcMar>
            <w:vAlign w:val="center"/>
          </w:tcPr>
          <w:p w:rsidR="00130DAF" w:rsidRDefault="00FF399E" w14:paraId="702F4DFD" w14:textId="7FDC3EF5">
            <w:pPr>
              <w:widowControl w:val="0"/>
              <w:ind w:left="34"/>
              <w:jc w:val="center"/>
              <w:rPr>
                <w:rFonts w:ascii="Calibri" w:hAnsi="Calibri" w:eastAsia="Calibri" w:cs="Calibri"/>
              </w:rPr>
            </w:pPr>
            <w:r w:rsidRPr="66045650" w:rsidR="10927C88">
              <w:rPr>
                <w:rFonts w:ascii="Calibri" w:hAnsi="Calibri" w:eastAsia="Calibri" w:cs="Calibri"/>
              </w:rPr>
              <w:t>10 Mar 2026</w:t>
            </w:r>
            <w:r w:rsidRPr="66045650" w:rsidR="00FF399E">
              <w:rPr>
                <w:rFonts w:ascii="Calibri" w:hAnsi="Calibri" w:eastAsia="Calibri" w:cs="Calibri"/>
              </w:rPr>
            </w:r>
            <w:r w:rsidRPr="66045650" w:rsidR="206489AE">
              <w:rPr>
                <w:rFonts w:ascii="Calibri" w:hAnsi="Calibri" w:eastAsia="Calibri" w:cs="Calibri"/>
              </w:rPr>
            </w:r>
            <w:r w:rsidRPr="66045650" w:rsidR="00FF399E">
              <w:rPr>
                <w:rFonts w:ascii="Calibri" w:hAnsi="Calibri" w:eastAsia="Calibri" w:cs="Calibri"/>
              </w:rPr>
            </w:r>
          </w:p>
        </w:tc>
        <w:tc>
          <w:tcPr>
            <w:tcW w:w="1875" w:type="dxa"/>
            <w:tcBorders>
              <w:top w:val="single" w:color="000000" w:themeColor="text1" w:sz="6"/>
              <w:left w:val="single" w:color="000000" w:themeColor="text1" w:sz="6"/>
              <w:bottom w:val="single" w:color="000000" w:themeColor="text1" w:sz="6"/>
              <w:right w:val="single" w:color="000000" w:themeColor="text1" w:sz="6"/>
            </w:tcBorders>
            <w:tcMar>
              <w:top w:w="0" w:type="dxa"/>
              <w:left w:w="90" w:type="dxa"/>
              <w:bottom w:w="0" w:type="dxa"/>
              <w:right w:w="90" w:type="dxa"/>
            </w:tcMar>
            <w:vAlign w:val="center"/>
          </w:tcPr>
          <w:p w:rsidR="49203118" w:rsidP="48328EF1" w:rsidRDefault="49203118" w14:paraId="78E85F58" w14:textId="43341AE8">
            <w:pPr>
              <w:pStyle w:val="Normal"/>
              <w:jc w:val="center"/>
              <w:rPr>
                <w:rFonts w:ascii="Calibri" w:hAnsi="Calibri" w:eastAsia="Calibri" w:cs="Calibri"/>
              </w:rPr>
            </w:pPr>
            <w:r w:rsidR="49203118">
              <w:drawing>
                <wp:inline wp14:editId="6E430BC4" wp14:anchorId="3B782AC2">
                  <wp:extent cx="695325" cy="1066800"/>
                  <wp:effectExtent l="0" t="0" r="0" b="0"/>
                  <wp:docPr id="4910069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91006995" name="Picture 491006995"/>
                          <pic:cNvPicPr/>
                        </pic:nvPicPr>
                        <pic:blipFill>
                          <a:blip xmlns:r="http://schemas.openxmlformats.org/officeDocument/2006/relationships" r:embed="rId793042825">
                            <a:extLst>
                              <a:ext uri="{28A0092B-C50C-407E-A947-70E740481C1C}">
                                <a14:useLocalDpi xmlns:a14="http://schemas.microsoft.com/office/drawing/2010/main"/>
                              </a:ext>
                            </a:extLst>
                          </a:blip>
                          <a:stretch>
                            <a:fillRect/>
                          </a:stretch>
                        </pic:blipFill>
                        <pic:spPr>
                          <a:xfrm>
                            <a:off x="0" y="0"/>
                            <a:ext cx="695325" cy="1066800"/>
                          </a:xfrm>
                          <a:prstGeom prst="rect">
                            <a:avLst/>
                          </a:prstGeom>
                        </pic:spPr>
                      </pic:pic>
                    </a:graphicData>
                  </a:graphic>
                </wp:inline>
              </w:drawing>
            </w:r>
          </w:p>
        </w:tc>
      </w:tr>
    </w:tbl>
    <w:p w:rsidR="00130DAF" w:rsidRDefault="00130DAF" w14:paraId="4F04C6A2" w14:textId="77777777">
      <w:pPr>
        <w:widowControl w:val="0"/>
        <w:spacing w:before="240" w:after="0" w:line="360" w:lineRule="auto"/>
        <w:ind w:left="432" w:hanging="432"/>
        <w:rPr>
          <w:rFonts w:ascii="Calibri" w:hAnsi="Calibri" w:eastAsia="Calibri" w:cs="Calibri"/>
          <w:sz w:val="36"/>
          <w:szCs w:val="36"/>
        </w:rPr>
      </w:pPr>
    </w:p>
    <w:p w:rsidR="00130DAF" w:rsidRDefault="00130DAF" w14:paraId="11CFD063" w14:textId="77777777">
      <w:pPr>
        <w:widowControl w:val="0"/>
        <w:spacing w:after="0"/>
        <w:jc w:val="center"/>
        <w:rPr>
          <w:sz w:val="24"/>
          <w:szCs w:val="24"/>
        </w:rPr>
      </w:pPr>
    </w:p>
    <w:p w:rsidR="00130DAF" w:rsidRDefault="00130DAF" w14:paraId="02E575B8" w14:textId="77777777">
      <w:pPr>
        <w:widowControl w:val="0"/>
        <w:spacing w:after="0"/>
        <w:jc w:val="center"/>
        <w:rPr>
          <w:sz w:val="24"/>
          <w:szCs w:val="24"/>
        </w:rPr>
      </w:pPr>
    </w:p>
    <w:p w:rsidR="00130DAF" w:rsidRDefault="00130DAF" w14:paraId="355B9D4C" w14:textId="77777777">
      <w:pPr>
        <w:widowControl w:val="0"/>
        <w:spacing w:after="0"/>
        <w:jc w:val="center"/>
        <w:rPr>
          <w:sz w:val="24"/>
          <w:szCs w:val="24"/>
        </w:rPr>
      </w:pPr>
    </w:p>
    <w:p w:rsidR="00130DAF" w:rsidRDefault="00130DAF" w14:paraId="1DC64A83" w14:textId="51A0E71A"/>
    <w:p w:rsidR="00130DAF" w:rsidRDefault="00FF399E" w14:paraId="185716C1" w14:textId="03A4EE7A">
      <w:pPr>
        <w:spacing w:before="0" w:after="0"/>
        <w:jc w:val="left"/>
        <w:rPr>
          <w:rFonts w:asciiTheme="majorHAnsi" w:hAnsiTheme="majorHAnsi" w:eastAsiaTheme="majorEastAsia" w:cstheme="majorBidi"/>
          <w:sz w:val="24"/>
          <w:szCs w:val="24"/>
        </w:rPr>
      </w:pPr>
      <w:r>
        <w:br/>
      </w:r>
      <w:r>
        <w:br/>
      </w:r>
    </w:p>
    <w:sdt>
      <w:sdtPr>
        <w:rPr>
          <w:rFonts w:ascii="Arial" w:hAnsi="Arial" w:eastAsia="Arial" w:cs="Arial"/>
          <w:bCs w:val="0"/>
          <w:color w:val="auto"/>
          <w:sz w:val="22"/>
          <w:szCs w:val="22"/>
          <w:lang w:bidi="he-IL"/>
        </w:rPr>
        <w:id w:val="-1834827330"/>
        <w:docPartObj>
          <w:docPartGallery w:val="Table of Contents"/>
          <w:docPartUnique/>
        </w:docPartObj>
      </w:sdtPr>
      <w:sdtEndPr>
        <w:rPr>
          <w:rFonts w:ascii="Arial" w:hAnsi="Arial" w:eastAsia="Arial" w:cs="Arial"/>
          <w:color w:val="auto"/>
          <w:sz w:val="22"/>
          <w:szCs w:val="22"/>
          <w:lang w:bidi="he-IL"/>
        </w:rPr>
      </w:sdtEndPr>
      <w:sdtContent>
        <w:p w:rsidR="00130DAF" w:rsidP="26C3F31D" w:rsidRDefault="26C3F31D" w14:paraId="11900CDF" w14:textId="582E9C26">
          <w:pPr>
            <w:pStyle w:val="TOCHeading"/>
          </w:pPr>
          <w:r>
            <w:t>Contents</w:t>
          </w:r>
        </w:p>
        <w:p w:rsidR="00130DAF" w:rsidP="26C3F31D" w:rsidRDefault="00FF399E" w14:paraId="53558776" w14:textId="4B0A8AD1">
          <w:pPr>
            <w:pStyle w:val="TOC1"/>
            <w:tabs>
              <w:tab w:val="left" w:pos="480"/>
              <w:tab w:val="right" w:leader="dot" w:pos="9350"/>
            </w:tabs>
            <w:rPr>
              <w:rFonts w:asciiTheme="minorHAnsi" w:hAnsiTheme="minorHAnsi" w:eastAsiaTheme="minorEastAsia" w:cstheme="minorBidi"/>
              <w:sz w:val="24"/>
              <w:szCs w:val="24"/>
              <w14:ligatures w14:val="standardContextual"/>
            </w:rPr>
          </w:pPr>
          <w:r>
            <w:fldChar w:fldCharType="begin"/>
          </w:r>
          <w:r>
            <w:instrText xml:space="preserve"> TOC \o "1-1" \h \z \u </w:instrText>
          </w:r>
          <w:r>
            <w:fldChar w:fldCharType="separate"/>
          </w:r>
          <w:hyperlink w:tooltip="#_Toc217995783" w:history="1" w:anchor="_Toc217995783">
            <w:r w:rsidRPr="26C3F31D" w:rsidR="26C3F31D">
              <w:rPr>
                <w:rStyle w:val="Hyperlink"/>
                <w:rFonts w:asciiTheme="majorHAnsi" w:hAnsiTheme="majorHAnsi" w:eastAsiaTheme="majorEastAsia" w:cstheme="majorBidi"/>
              </w:rPr>
              <w:t>1.</w:t>
            </w:r>
            <w:r>
              <w:rPr>
                <w:rFonts w:asciiTheme="minorHAnsi" w:hAnsiTheme="minorHAnsi" w:eastAsiaTheme="minorEastAsia" w:cstheme="minorBidi"/>
                <w:sz w:val="24"/>
                <w:szCs w:val="24"/>
                <w14:ligatures w14:val="standardContextual"/>
              </w:rPr>
              <w:tab/>
            </w:r>
            <w:r w:rsidRPr="26C3F31D" w:rsidR="26C3F31D">
              <w:rPr>
                <w:rStyle w:val="Hyperlink"/>
                <w:rFonts w:asciiTheme="majorHAnsi" w:hAnsiTheme="majorHAnsi" w:eastAsiaTheme="majorEastAsia" w:cstheme="majorBidi"/>
              </w:rPr>
              <w:t>Overview</w:t>
            </w:r>
            <w:r>
              <w:tab/>
            </w:r>
            <w:r>
              <w:fldChar w:fldCharType="begin"/>
            </w:r>
            <w:r>
              <w:instrText xml:space="preserve"> PAGEREF _Toc217995783 \h </w:instrText>
            </w:r>
            <w:r>
              <w:fldChar w:fldCharType="separate"/>
            </w:r>
            <w:r w:rsidR="26C3F31D">
              <w:t>7</w:t>
            </w:r>
            <w:r>
              <w:fldChar w:fldCharType="end"/>
            </w:r>
          </w:hyperlink>
        </w:p>
        <w:p w:rsidR="00130DAF" w:rsidRDefault="00FF399E" w14:paraId="133A9775" w14:textId="30A396AE">
          <w:pPr>
            <w:pStyle w:val="TOC1"/>
            <w:tabs>
              <w:tab w:val="left" w:pos="480"/>
              <w:tab w:val="right" w:leader="dot" w:pos="9350"/>
            </w:tabs>
            <w:rPr>
              <w:rFonts w:asciiTheme="minorHAnsi" w:hAnsiTheme="minorHAnsi" w:eastAsiaTheme="minorEastAsia" w:cstheme="minorBidi"/>
              <w:sz w:val="24"/>
              <w:szCs w:val="24"/>
              <w14:ligatures w14:val="standardContextual"/>
            </w:rPr>
          </w:pPr>
          <w:hyperlink w:tooltip="#_Toc217995784" w:history="1" w:anchor="_Toc217995784">
            <w:r>
              <w:rPr>
                <w:rStyle w:val="Hyperlink"/>
                <w:rFonts w:asciiTheme="majorHAnsi" w:hAnsiTheme="majorHAnsi" w:eastAsiaTheme="majorEastAsia" w:cstheme="majorBidi"/>
              </w:rPr>
              <w:t>2.</w:t>
            </w:r>
            <w:r>
              <w:rPr>
                <w:rFonts w:asciiTheme="minorHAnsi" w:hAnsiTheme="minorHAnsi" w:eastAsiaTheme="minorEastAsia" w:cstheme="minorBidi"/>
                <w:sz w:val="24"/>
                <w:szCs w:val="24"/>
                <w14:ligatures w14:val="standardContextual"/>
              </w:rPr>
              <w:tab/>
            </w:r>
            <w:r>
              <w:rPr>
                <w:rStyle w:val="Hyperlink"/>
                <w:rFonts w:asciiTheme="majorHAnsi" w:hAnsiTheme="majorHAnsi" w:eastAsiaTheme="majorEastAsia" w:cstheme="majorBidi"/>
              </w:rPr>
              <w:t>Scope</w:t>
            </w:r>
            <w:r>
              <w:tab/>
            </w:r>
            <w:r>
              <w:fldChar w:fldCharType="begin"/>
            </w:r>
            <w:r>
              <w:instrText xml:space="preserve"> PAGEREF _Toc217995784 \h </w:instrText>
            </w:r>
            <w:r>
              <w:fldChar w:fldCharType="separate"/>
            </w:r>
            <w:r>
              <w:t>7</w:t>
            </w:r>
            <w:r>
              <w:fldChar w:fldCharType="end"/>
            </w:r>
          </w:hyperlink>
        </w:p>
        <w:p w:rsidR="00130DAF" w:rsidRDefault="00FF399E" w14:paraId="49D111F6" w14:textId="1D67BC3A">
          <w:pPr>
            <w:pStyle w:val="TOC1"/>
            <w:tabs>
              <w:tab w:val="left" w:pos="480"/>
              <w:tab w:val="right" w:leader="dot" w:pos="9350"/>
            </w:tabs>
            <w:rPr>
              <w:rFonts w:asciiTheme="minorHAnsi" w:hAnsiTheme="minorHAnsi" w:eastAsiaTheme="minorEastAsia" w:cstheme="minorBidi"/>
              <w:sz w:val="24"/>
              <w:szCs w:val="24"/>
              <w14:ligatures w14:val="standardContextual"/>
            </w:rPr>
          </w:pPr>
          <w:hyperlink w:tooltip="#_Toc217995785" w:history="1" w:anchor="_Toc217995785">
            <w:r>
              <w:rPr>
                <w:rStyle w:val="Hyperlink"/>
                <w:rFonts w:asciiTheme="majorHAnsi" w:hAnsiTheme="majorHAnsi" w:eastAsiaTheme="majorEastAsia" w:cstheme="majorBidi"/>
              </w:rPr>
              <w:t>3.</w:t>
            </w:r>
            <w:r>
              <w:rPr>
                <w:rFonts w:asciiTheme="minorHAnsi" w:hAnsiTheme="minorHAnsi" w:eastAsiaTheme="minorEastAsia" w:cstheme="minorBidi"/>
                <w:sz w:val="24"/>
                <w:szCs w:val="24"/>
                <w14:ligatures w14:val="standardContextual"/>
              </w:rPr>
              <w:tab/>
            </w:r>
            <w:r>
              <w:rPr>
                <w:rStyle w:val="Hyperlink"/>
                <w:rFonts w:asciiTheme="majorHAnsi" w:hAnsiTheme="majorHAnsi" w:eastAsiaTheme="majorEastAsia" w:cstheme="majorBidi"/>
              </w:rPr>
              <w:t>Introduction</w:t>
            </w:r>
            <w:r>
              <w:tab/>
            </w:r>
            <w:r>
              <w:fldChar w:fldCharType="begin"/>
            </w:r>
            <w:r>
              <w:instrText xml:space="preserve"> PAGEREF _Toc217995785 \h </w:instrText>
            </w:r>
            <w:r>
              <w:fldChar w:fldCharType="separate"/>
            </w:r>
            <w:r>
              <w:t>7</w:t>
            </w:r>
            <w:r>
              <w:fldChar w:fldCharType="end"/>
            </w:r>
          </w:hyperlink>
        </w:p>
        <w:p w:rsidR="00130DAF" w:rsidRDefault="00FF399E" w14:paraId="74AAD584" w14:textId="128453ED">
          <w:pPr>
            <w:pStyle w:val="TOC1"/>
            <w:tabs>
              <w:tab w:val="left" w:pos="480"/>
              <w:tab w:val="right" w:leader="dot" w:pos="9350"/>
            </w:tabs>
            <w:rPr>
              <w:rFonts w:asciiTheme="minorHAnsi" w:hAnsiTheme="minorHAnsi" w:eastAsiaTheme="minorEastAsia" w:cstheme="minorBidi"/>
              <w:sz w:val="24"/>
              <w:szCs w:val="24"/>
              <w14:ligatures w14:val="standardContextual"/>
            </w:rPr>
          </w:pPr>
          <w:hyperlink w:tooltip="#_Toc217995786" w:history="1" w:anchor="_Toc217995786">
            <w:r>
              <w:rPr>
                <w:rStyle w:val="Hyperlink"/>
                <w:rFonts w:asciiTheme="majorHAnsi" w:hAnsiTheme="majorHAnsi" w:eastAsiaTheme="majorEastAsia" w:cstheme="majorBidi"/>
              </w:rPr>
              <w:t>4.</w:t>
            </w:r>
            <w:r>
              <w:rPr>
                <w:rFonts w:asciiTheme="minorHAnsi" w:hAnsiTheme="minorHAnsi" w:eastAsiaTheme="minorEastAsia" w:cstheme="minorBidi"/>
                <w:sz w:val="24"/>
                <w:szCs w:val="24"/>
                <w14:ligatures w14:val="standardContextual"/>
              </w:rPr>
              <w:tab/>
            </w:r>
            <w:r>
              <w:rPr>
                <w:rStyle w:val="Hyperlink"/>
                <w:rFonts w:asciiTheme="majorHAnsi" w:hAnsiTheme="majorHAnsi" w:eastAsiaTheme="majorEastAsia" w:cstheme="majorBidi"/>
              </w:rPr>
              <w:t>Objectives</w:t>
            </w:r>
            <w:r>
              <w:tab/>
            </w:r>
            <w:r>
              <w:fldChar w:fldCharType="begin"/>
            </w:r>
            <w:r>
              <w:instrText xml:space="preserve"> PAGEREF _Toc217995786 \h </w:instrText>
            </w:r>
            <w:r>
              <w:fldChar w:fldCharType="separate"/>
            </w:r>
            <w:r>
              <w:t>8</w:t>
            </w:r>
            <w:r>
              <w:fldChar w:fldCharType="end"/>
            </w:r>
          </w:hyperlink>
        </w:p>
        <w:p w:rsidR="00130DAF" w:rsidRDefault="00FF399E" w14:paraId="58CE3046" w14:textId="4D786E01">
          <w:pPr>
            <w:pStyle w:val="TOC1"/>
            <w:tabs>
              <w:tab w:val="left" w:pos="480"/>
              <w:tab w:val="right" w:leader="dot" w:pos="9350"/>
            </w:tabs>
            <w:rPr>
              <w:rFonts w:asciiTheme="minorHAnsi" w:hAnsiTheme="minorHAnsi" w:eastAsiaTheme="minorEastAsia" w:cstheme="minorBidi"/>
              <w:sz w:val="24"/>
              <w:szCs w:val="24"/>
              <w14:ligatures w14:val="standardContextual"/>
            </w:rPr>
          </w:pPr>
          <w:hyperlink w:tooltip="#_Toc217995787" w:history="1" w:anchor="_Toc217995787">
            <w:r>
              <w:rPr>
                <w:rStyle w:val="Hyperlink"/>
                <w:rFonts w:asciiTheme="majorHAnsi" w:hAnsiTheme="majorHAnsi" w:eastAsiaTheme="majorEastAsia" w:cstheme="majorBidi"/>
              </w:rPr>
              <w:t>5.</w:t>
            </w:r>
            <w:r>
              <w:rPr>
                <w:rFonts w:asciiTheme="minorHAnsi" w:hAnsiTheme="minorHAnsi" w:eastAsiaTheme="minorEastAsia" w:cstheme="minorBidi"/>
                <w:sz w:val="24"/>
                <w:szCs w:val="24"/>
                <w14:ligatures w14:val="standardContextual"/>
              </w:rPr>
              <w:tab/>
            </w:r>
            <w:r>
              <w:rPr>
                <w:rStyle w:val="Hyperlink"/>
                <w:rFonts w:asciiTheme="majorHAnsi" w:hAnsiTheme="majorHAnsi" w:eastAsiaTheme="majorEastAsia" w:cstheme="majorBidi"/>
              </w:rPr>
              <w:t>Development Secure Policy</w:t>
            </w:r>
            <w:r>
              <w:tab/>
            </w:r>
            <w:r>
              <w:fldChar w:fldCharType="begin"/>
            </w:r>
            <w:r>
              <w:instrText xml:space="preserve"> PAGEREF _Toc217995787 \h </w:instrText>
            </w:r>
            <w:r>
              <w:fldChar w:fldCharType="separate"/>
            </w:r>
            <w:r>
              <w:t>8</w:t>
            </w:r>
            <w:r>
              <w:fldChar w:fldCharType="end"/>
            </w:r>
          </w:hyperlink>
        </w:p>
        <w:p w:rsidR="00130DAF" w:rsidRDefault="00FF399E" w14:paraId="42EBA8E1" w14:textId="4DF32C05">
          <w:pPr>
            <w:pStyle w:val="TOC1"/>
            <w:tabs>
              <w:tab w:val="left" w:pos="720"/>
              <w:tab w:val="right" w:leader="dot" w:pos="9350"/>
            </w:tabs>
            <w:rPr>
              <w:rFonts w:asciiTheme="minorHAnsi" w:hAnsiTheme="minorHAnsi" w:eastAsiaTheme="minorEastAsia" w:cstheme="minorBidi"/>
              <w:sz w:val="24"/>
              <w:szCs w:val="24"/>
              <w14:ligatures w14:val="standardContextual"/>
            </w:rPr>
          </w:pPr>
          <w:hyperlink w:tooltip="#_Toc217995788" w:history="1" w:anchor="_Toc217995788">
            <w:r>
              <w:rPr>
                <w:rStyle w:val="Hyperlink"/>
                <w:rFonts w:asciiTheme="majorHAnsi" w:hAnsiTheme="majorHAnsi" w:eastAsiaTheme="majorEastAsia" w:cstheme="majorBidi"/>
              </w:rPr>
              <w:t>5.1.</w:t>
            </w:r>
            <w:r>
              <w:rPr>
                <w:rFonts w:asciiTheme="minorHAnsi" w:hAnsiTheme="minorHAnsi" w:eastAsiaTheme="minorEastAsia" w:cstheme="minorBidi"/>
                <w:sz w:val="24"/>
                <w:szCs w:val="24"/>
                <w14:ligatures w14:val="standardContextual"/>
              </w:rPr>
              <w:tab/>
            </w:r>
            <w:r>
              <w:rPr>
                <w:rStyle w:val="Hyperlink"/>
                <w:rFonts w:asciiTheme="majorHAnsi" w:hAnsiTheme="majorHAnsi" w:eastAsiaTheme="majorEastAsia" w:cstheme="majorBidi"/>
              </w:rPr>
              <w:t>Development of Secure Software</w:t>
            </w:r>
            <w:r>
              <w:tab/>
            </w:r>
            <w:r>
              <w:fldChar w:fldCharType="begin"/>
            </w:r>
            <w:r>
              <w:instrText xml:space="preserve"> PAGEREF _Toc217995788 \h </w:instrText>
            </w:r>
            <w:r>
              <w:fldChar w:fldCharType="separate"/>
            </w:r>
            <w:r>
              <w:t>8</w:t>
            </w:r>
            <w:r>
              <w:fldChar w:fldCharType="end"/>
            </w:r>
          </w:hyperlink>
        </w:p>
        <w:p w:rsidR="00130DAF" w:rsidRDefault="00FF399E" w14:paraId="65BAA7F6" w14:textId="41D87136">
          <w:pPr>
            <w:pStyle w:val="TOC1"/>
            <w:tabs>
              <w:tab w:val="left" w:pos="720"/>
              <w:tab w:val="right" w:leader="dot" w:pos="9350"/>
            </w:tabs>
            <w:rPr>
              <w:rFonts w:asciiTheme="minorHAnsi" w:hAnsiTheme="minorHAnsi" w:eastAsiaTheme="minorEastAsia" w:cstheme="minorBidi"/>
              <w:sz w:val="24"/>
              <w:szCs w:val="24"/>
              <w14:ligatures w14:val="standardContextual"/>
            </w:rPr>
          </w:pPr>
          <w:hyperlink w:tooltip="#_Toc217995799" w:history="1" w:anchor="_Toc217995799">
            <w:r>
              <w:rPr>
                <w:rStyle w:val="Hyperlink"/>
                <w:rFonts w:asciiTheme="majorHAnsi" w:hAnsiTheme="majorHAnsi" w:eastAsiaTheme="majorEastAsia" w:cstheme="majorBidi"/>
              </w:rPr>
              <w:t>5.2.</w:t>
            </w:r>
            <w:r>
              <w:rPr>
                <w:rFonts w:asciiTheme="minorHAnsi" w:hAnsiTheme="minorHAnsi" w:eastAsiaTheme="minorEastAsia" w:cstheme="minorBidi"/>
                <w:sz w:val="24"/>
                <w:szCs w:val="24"/>
                <w14:ligatures w14:val="standardContextual"/>
              </w:rPr>
              <w:tab/>
            </w:r>
            <w:r>
              <w:rPr>
                <w:rStyle w:val="Hyperlink"/>
                <w:rFonts w:asciiTheme="majorHAnsi" w:hAnsiTheme="majorHAnsi" w:eastAsiaTheme="majorEastAsia" w:cstheme="majorBidi"/>
              </w:rPr>
              <w:t>Acquisition of Secure Software</w:t>
            </w:r>
            <w:r>
              <w:tab/>
            </w:r>
            <w:r>
              <w:fldChar w:fldCharType="begin"/>
            </w:r>
            <w:r>
              <w:instrText xml:space="preserve"> PAGEREF _Toc217995799 \h </w:instrText>
            </w:r>
            <w:r>
              <w:fldChar w:fldCharType="separate"/>
            </w:r>
            <w:r>
              <w:t>9</w:t>
            </w:r>
            <w:r>
              <w:fldChar w:fldCharType="end"/>
            </w:r>
          </w:hyperlink>
        </w:p>
        <w:p w:rsidR="00130DAF" w:rsidRDefault="00FF399E" w14:paraId="1906026D" w14:textId="5BC85386">
          <w:pPr>
            <w:pStyle w:val="TOC1"/>
            <w:tabs>
              <w:tab w:val="left" w:pos="720"/>
              <w:tab w:val="right" w:leader="dot" w:pos="9350"/>
            </w:tabs>
            <w:rPr>
              <w:rFonts w:asciiTheme="minorHAnsi" w:hAnsiTheme="minorHAnsi" w:eastAsiaTheme="minorEastAsia" w:cstheme="minorBidi"/>
              <w:sz w:val="24"/>
              <w:szCs w:val="24"/>
              <w14:ligatures w14:val="standardContextual"/>
            </w:rPr>
          </w:pPr>
          <w:hyperlink w:tooltip="#_Toc217995802" w:history="1" w:anchor="_Toc217995802">
            <w:r>
              <w:rPr>
                <w:rStyle w:val="Hyperlink"/>
                <w:rFonts w:asciiTheme="majorHAnsi" w:hAnsiTheme="majorHAnsi" w:eastAsiaTheme="majorEastAsia" w:cstheme="majorBidi"/>
              </w:rPr>
              <w:t>5.3.</w:t>
            </w:r>
            <w:r>
              <w:rPr>
                <w:rFonts w:asciiTheme="minorHAnsi" w:hAnsiTheme="minorHAnsi" w:eastAsiaTheme="minorEastAsia" w:cstheme="minorBidi"/>
                <w:sz w:val="24"/>
                <w:szCs w:val="24"/>
                <w14:ligatures w14:val="standardContextual"/>
              </w:rPr>
              <w:tab/>
            </w:r>
            <w:r>
              <w:rPr>
                <w:rStyle w:val="Hyperlink"/>
                <w:rFonts w:asciiTheme="majorHAnsi" w:hAnsiTheme="majorHAnsi" w:eastAsiaTheme="majorEastAsia" w:cstheme="majorBidi"/>
              </w:rPr>
              <w:t>Security Development Life-Cycle (procedure)</w:t>
            </w:r>
            <w:r>
              <w:tab/>
            </w:r>
            <w:r>
              <w:fldChar w:fldCharType="begin"/>
            </w:r>
            <w:r>
              <w:instrText xml:space="preserve"> PAGEREF _Toc217995802 \h </w:instrText>
            </w:r>
            <w:r>
              <w:fldChar w:fldCharType="separate"/>
            </w:r>
            <w:r>
              <w:t>9</w:t>
            </w:r>
            <w:r>
              <w:fldChar w:fldCharType="end"/>
            </w:r>
          </w:hyperlink>
        </w:p>
        <w:p w:rsidR="00130DAF" w:rsidRDefault="00FF399E" w14:paraId="185685DF" w14:textId="36B9518F">
          <w:pPr>
            <w:pStyle w:val="TOC1"/>
            <w:tabs>
              <w:tab w:val="left" w:pos="720"/>
              <w:tab w:val="right" w:leader="dot" w:pos="9350"/>
            </w:tabs>
            <w:rPr>
              <w:rFonts w:asciiTheme="minorHAnsi" w:hAnsiTheme="minorHAnsi" w:eastAsiaTheme="minorEastAsia" w:cstheme="minorBidi"/>
              <w:sz w:val="24"/>
              <w:szCs w:val="24"/>
              <w14:ligatures w14:val="standardContextual"/>
            </w:rPr>
          </w:pPr>
          <w:hyperlink w:tooltip="#_Toc217995809" w:history="1" w:anchor="_Toc217995809">
            <w:r>
              <w:rPr>
                <w:rStyle w:val="Hyperlink"/>
                <w:rFonts w:asciiTheme="majorHAnsi" w:hAnsiTheme="majorHAnsi" w:eastAsiaTheme="majorEastAsia" w:cstheme="majorBidi"/>
              </w:rPr>
              <w:t>5.4.</w:t>
            </w:r>
            <w:r>
              <w:rPr>
                <w:rFonts w:asciiTheme="minorHAnsi" w:hAnsiTheme="minorHAnsi" w:eastAsiaTheme="minorEastAsia" w:cstheme="minorBidi"/>
                <w:sz w:val="24"/>
                <w:szCs w:val="24"/>
                <w14:ligatures w14:val="standardContextual"/>
              </w:rPr>
              <w:tab/>
            </w:r>
            <w:r>
              <w:rPr>
                <w:rStyle w:val="Hyperlink"/>
                <w:rFonts w:asciiTheme="majorHAnsi" w:hAnsiTheme="majorHAnsi" w:eastAsiaTheme="majorEastAsia" w:cstheme="majorBidi"/>
              </w:rPr>
              <w:t>Continual Activities</w:t>
            </w:r>
            <w:r>
              <w:tab/>
            </w:r>
            <w:r>
              <w:fldChar w:fldCharType="begin"/>
            </w:r>
            <w:r>
              <w:instrText xml:space="preserve"> PAGEREF _Toc217995809 \h </w:instrText>
            </w:r>
            <w:r>
              <w:fldChar w:fldCharType="separate"/>
            </w:r>
            <w:r>
              <w:t>10</w:t>
            </w:r>
            <w:r>
              <w:fldChar w:fldCharType="end"/>
            </w:r>
          </w:hyperlink>
        </w:p>
        <w:p w:rsidR="00130DAF" w:rsidRDefault="00FF399E" w14:paraId="6868FA1B" w14:textId="017A1F22">
          <w:pPr>
            <w:pStyle w:val="TOC1"/>
            <w:tabs>
              <w:tab w:val="left" w:pos="720"/>
              <w:tab w:val="right" w:leader="dot" w:pos="9350"/>
            </w:tabs>
            <w:rPr>
              <w:rFonts w:asciiTheme="minorHAnsi" w:hAnsiTheme="minorHAnsi" w:eastAsiaTheme="minorEastAsia" w:cstheme="minorBidi"/>
              <w:sz w:val="24"/>
              <w:szCs w:val="24"/>
              <w14:ligatures w14:val="standardContextual"/>
            </w:rPr>
          </w:pPr>
          <w:hyperlink w:tooltip="#_Toc217995815" w:history="1" w:anchor="_Toc217995815">
            <w:r>
              <w:rPr>
                <w:rStyle w:val="Hyperlink"/>
                <w:rFonts w:asciiTheme="majorHAnsi" w:hAnsiTheme="majorHAnsi" w:eastAsiaTheme="majorEastAsia" w:cstheme="majorBidi"/>
              </w:rPr>
              <w:t>5.5.</w:t>
            </w:r>
            <w:r>
              <w:rPr>
                <w:rFonts w:asciiTheme="minorHAnsi" w:hAnsiTheme="minorHAnsi" w:eastAsiaTheme="minorEastAsia" w:cstheme="minorBidi"/>
                <w:sz w:val="24"/>
                <w:szCs w:val="24"/>
                <w14:ligatures w14:val="standardContextual"/>
              </w:rPr>
              <w:tab/>
            </w:r>
            <w:r>
              <w:rPr>
                <w:rStyle w:val="Hyperlink"/>
                <w:rFonts w:asciiTheme="majorHAnsi" w:hAnsiTheme="majorHAnsi" w:eastAsiaTheme="majorEastAsia" w:cstheme="majorBidi"/>
              </w:rPr>
              <w:t>Coding Phase</w:t>
            </w:r>
            <w:r>
              <w:tab/>
            </w:r>
            <w:r>
              <w:fldChar w:fldCharType="begin"/>
            </w:r>
            <w:r>
              <w:instrText xml:space="preserve"> PAGEREF _Toc217995815 \h </w:instrText>
            </w:r>
            <w:r>
              <w:fldChar w:fldCharType="separate"/>
            </w:r>
            <w:r>
              <w:t>11</w:t>
            </w:r>
            <w:r>
              <w:fldChar w:fldCharType="end"/>
            </w:r>
          </w:hyperlink>
        </w:p>
        <w:p w:rsidR="00130DAF" w:rsidRDefault="00FF399E" w14:paraId="114BCB34" w14:textId="44A6C770">
          <w:pPr>
            <w:pStyle w:val="TOC1"/>
            <w:tabs>
              <w:tab w:val="left" w:pos="720"/>
              <w:tab w:val="right" w:leader="dot" w:pos="9350"/>
            </w:tabs>
            <w:rPr>
              <w:rFonts w:asciiTheme="minorHAnsi" w:hAnsiTheme="minorHAnsi" w:eastAsiaTheme="minorEastAsia" w:cstheme="minorBidi"/>
              <w:sz w:val="24"/>
              <w:szCs w:val="24"/>
              <w14:ligatures w14:val="standardContextual"/>
            </w:rPr>
          </w:pPr>
          <w:hyperlink w:tooltip="#_Toc217995827" w:history="1" w:anchor="_Toc217995827">
            <w:r>
              <w:rPr>
                <w:rStyle w:val="Hyperlink"/>
                <w:rFonts w:asciiTheme="majorHAnsi" w:hAnsiTheme="majorHAnsi" w:eastAsiaTheme="majorEastAsia" w:cstheme="majorBidi"/>
              </w:rPr>
              <w:t>5.6.</w:t>
            </w:r>
            <w:r>
              <w:rPr>
                <w:rFonts w:asciiTheme="minorHAnsi" w:hAnsiTheme="minorHAnsi" w:eastAsiaTheme="minorEastAsia" w:cstheme="minorBidi"/>
                <w:sz w:val="24"/>
                <w:szCs w:val="24"/>
                <w14:ligatures w14:val="standardContextual"/>
              </w:rPr>
              <w:tab/>
            </w:r>
            <w:r>
              <w:rPr>
                <w:rStyle w:val="Hyperlink"/>
                <w:rFonts w:asciiTheme="majorHAnsi" w:hAnsiTheme="majorHAnsi" w:eastAsiaTheme="majorEastAsia" w:cstheme="majorBidi"/>
              </w:rPr>
              <w:t>Testing Phase</w:t>
            </w:r>
            <w:r>
              <w:tab/>
            </w:r>
            <w:r>
              <w:fldChar w:fldCharType="begin"/>
            </w:r>
            <w:r>
              <w:instrText xml:space="preserve"> PAGEREF _Toc217995827 \h </w:instrText>
            </w:r>
            <w:r>
              <w:fldChar w:fldCharType="separate"/>
            </w:r>
            <w:r>
              <w:t>12</w:t>
            </w:r>
            <w:r>
              <w:fldChar w:fldCharType="end"/>
            </w:r>
          </w:hyperlink>
        </w:p>
        <w:p w:rsidR="00130DAF" w:rsidRDefault="00FF399E" w14:paraId="013F5F5B" w14:textId="51540AD8">
          <w:pPr>
            <w:pStyle w:val="TOC1"/>
            <w:tabs>
              <w:tab w:val="left" w:pos="720"/>
              <w:tab w:val="right" w:leader="dot" w:pos="9350"/>
            </w:tabs>
            <w:rPr>
              <w:rFonts w:asciiTheme="minorHAnsi" w:hAnsiTheme="minorHAnsi" w:eastAsiaTheme="minorEastAsia" w:cstheme="minorBidi"/>
              <w:sz w:val="24"/>
              <w:szCs w:val="24"/>
              <w14:ligatures w14:val="standardContextual"/>
            </w:rPr>
          </w:pPr>
          <w:hyperlink w:tooltip="#_Toc217995830" w:history="1" w:anchor="_Toc217995830">
            <w:r>
              <w:rPr>
                <w:rStyle w:val="Hyperlink"/>
                <w:rFonts w:asciiTheme="majorHAnsi" w:hAnsiTheme="majorHAnsi" w:eastAsiaTheme="majorEastAsia" w:cstheme="majorBidi"/>
              </w:rPr>
              <w:t>5.7.</w:t>
            </w:r>
            <w:r>
              <w:rPr>
                <w:rFonts w:asciiTheme="minorHAnsi" w:hAnsiTheme="minorHAnsi" w:eastAsiaTheme="minorEastAsia" w:cstheme="minorBidi"/>
                <w:sz w:val="24"/>
                <w:szCs w:val="24"/>
                <w14:ligatures w14:val="standardContextual"/>
              </w:rPr>
              <w:tab/>
            </w:r>
            <w:r>
              <w:rPr>
                <w:rStyle w:val="Hyperlink"/>
                <w:rFonts w:asciiTheme="majorHAnsi" w:hAnsiTheme="majorHAnsi" w:eastAsiaTheme="majorEastAsia" w:cstheme="majorBidi"/>
              </w:rPr>
              <w:t>Deployment Phase</w:t>
            </w:r>
            <w:r>
              <w:tab/>
            </w:r>
            <w:r>
              <w:fldChar w:fldCharType="begin"/>
            </w:r>
            <w:r>
              <w:instrText xml:space="preserve"> PAGEREF _Toc217995830 \h </w:instrText>
            </w:r>
            <w:r>
              <w:fldChar w:fldCharType="separate"/>
            </w:r>
            <w:r>
              <w:t>13</w:t>
            </w:r>
            <w:r>
              <w:fldChar w:fldCharType="end"/>
            </w:r>
          </w:hyperlink>
        </w:p>
        <w:p w:rsidR="00130DAF" w:rsidRDefault="00FF399E" w14:paraId="411DD1EB" w14:textId="7D4C6137">
          <w:pPr>
            <w:pStyle w:val="TOC1"/>
            <w:tabs>
              <w:tab w:val="left" w:pos="480"/>
              <w:tab w:val="right" w:leader="dot" w:pos="9350"/>
            </w:tabs>
            <w:rPr>
              <w:rFonts w:asciiTheme="minorHAnsi" w:hAnsiTheme="minorHAnsi" w:eastAsiaTheme="minorEastAsia" w:cstheme="minorBidi"/>
              <w:sz w:val="24"/>
              <w:szCs w:val="24"/>
              <w14:ligatures w14:val="standardContextual"/>
            </w:rPr>
          </w:pPr>
          <w:hyperlink w:tooltip="#_Toc217995835" w:history="1" w:anchor="_Toc217995835">
            <w:r>
              <w:rPr>
                <w:rStyle w:val="Hyperlink"/>
                <w:rFonts w:asciiTheme="majorHAnsi" w:hAnsiTheme="majorHAnsi" w:eastAsiaTheme="majorEastAsia" w:cstheme="majorBidi"/>
              </w:rPr>
              <w:t>6.</w:t>
            </w:r>
            <w:r>
              <w:rPr>
                <w:rFonts w:asciiTheme="minorHAnsi" w:hAnsiTheme="minorHAnsi" w:eastAsiaTheme="minorEastAsia" w:cstheme="minorBidi"/>
                <w:sz w:val="24"/>
                <w:szCs w:val="24"/>
                <w14:ligatures w14:val="standardContextual"/>
              </w:rPr>
              <w:tab/>
            </w:r>
            <w:r>
              <w:rPr>
                <w:rStyle w:val="Hyperlink"/>
                <w:rFonts w:asciiTheme="majorHAnsi" w:hAnsiTheme="majorHAnsi" w:eastAsiaTheme="majorEastAsia" w:cstheme="majorBidi"/>
              </w:rPr>
              <w:t>Third-Party Component Management</w:t>
            </w:r>
            <w:r>
              <w:tab/>
            </w:r>
            <w:r>
              <w:fldChar w:fldCharType="begin"/>
            </w:r>
            <w:r>
              <w:instrText xml:space="preserve"> PAGEREF _Toc217995835 \h </w:instrText>
            </w:r>
            <w:r>
              <w:fldChar w:fldCharType="separate"/>
            </w:r>
            <w:r>
              <w:t>14</w:t>
            </w:r>
            <w:r>
              <w:fldChar w:fldCharType="end"/>
            </w:r>
          </w:hyperlink>
        </w:p>
        <w:p w:rsidR="00130DAF" w:rsidRDefault="00FF399E" w14:paraId="300B070E" w14:textId="3A61252B">
          <w:pPr>
            <w:pStyle w:val="TOC1"/>
            <w:tabs>
              <w:tab w:val="left" w:pos="720"/>
              <w:tab w:val="right" w:leader="dot" w:pos="9350"/>
            </w:tabs>
            <w:rPr>
              <w:rFonts w:asciiTheme="minorHAnsi" w:hAnsiTheme="minorHAnsi" w:eastAsiaTheme="minorEastAsia" w:cstheme="minorBidi"/>
              <w:sz w:val="24"/>
              <w:szCs w:val="24"/>
              <w14:ligatures w14:val="standardContextual"/>
            </w:rPr>
          </w:pPr>
          <w:hyperlink w:tooltip="#_Toc217995836" w:history="1" w:anchor="_Toc217995836">
            <w:r>
              <w:rPr>
                <w:rStyle w:val="Hyperlink"/>
                <w:rFonts w:asciiTheme="majorHAnsi" w:hAnsiTheme="majorHAnsi" w:eastAsiaTheme="majorEastAsia" w:cstheme="majorBidi"/>
              </w:rPr>
              <w:t>6.1.</w:t>
            </w:r>
            <w:r>
              <w:rPr>
                <w:rFonts w:asciiTheme="minorHAnsi" w:hAnsiTheme="minorHAnsi" w:eastAsiaTheme="minorEastAsia" w:cstheme="minorBidi"/>
                <w:sz w:val="24"/>
                <w:szCs w:val="24"/>
                <w14:ligatures w14:val="standardContextual"/>
              </w:rPr>
              <w:tab/>
            </w:r>
            <w:r>
              <w:rPr>
                <w:rStyle w:val="Hyperlink"/>
                <w:rFonts w:asciiTheme="majorHAnsi" w:hAnsiTheme="majorHAnsi" w:eastAsiaTheme="majorEastAsia" w:cstheme="majorBidi"/>
              </w:rPr>
              <w:t>Component Definition</w:t>
            </w:r>
            <w:r>
              <w:tab/>
            </w:r>
            <w:r>
              <w:fldChar w:fldCharType="begin"/>
            </w:r>
            <w:r>
              <w:instrText xml:space="preserve"> PAGEREF _Toc217995836 \h </w:instrText>
            </w:r>
            <w:r>
              <w:fldChar w:fldCharType="separate"/>
            </w:r>
            <w:r>
              <w:t>14</w:t>
            </w:r>
            <w:r>
              <w:fldChar w:fldCharType="end"/>
            </w:r>
          </w:hyperlink>
        </w:p>
        <w:p w:rsidR="00130DAF" w:rsidRDefault="00FF399E" w14:paraId="38E2D25F" w14:textId="088A7181">
          <w:pPr>
            <w:pStyle w:val="TOC1"/>
            <w:tabs>
              <w:tab w:val="left" w:pos="720"/>
              <w:tab w:val="right" w:leader="dot" w:pos="9350"/>
            </w:tabs>
            <w:rPr>
              <w:rFonts w:asciiTheme="minorHAnsi" w:hAnsiTheme="minorHAnsi" w:eastAsiaTheme="minorEastAsia" w:cstheme="minorBidi"/>
              <w:sz w:val="24"/>
              <w:szCs w:val="24"/>
              <w14:ligatures w14:val="standardContextual"/>
            </w:rPr>
          </w:pPr>
          <w:hyperlink w:tooltip="#_Toc217995838" w:history="1" w:anchor="_Toc217995838">
            <w:r>
              <w:rPr>
                <w:rStyle w:val="Hyperlink"/>
                <w:rFonts w:asciiTheme="majorHAnsi" w:hAnsiTheme="majorHAnsi" w:eastAsiaTheme="majorEastAsia" w:cstheme="majorBidi"/>
              </w:rPr>
              <w:t>6.2.</w:t>
            </w:r>
            <w:r>
              <w:rPr>
                <w:rFonts w:asciiTheme="minorHAnsi" w:hAnsiTheme="minorHAnsi" w:eastAsiaTheme="minorEastAsia" w:cstheme="minorBidi"/>
                <w:sz w:val="24"/>
                <w:szCs w:val="24"/>
                <w14:ligatures w14:val="standardContextual"/>
              </w:rPr>
              <w:tab/>
            </w:r>
            <w:r>
              <w:rPr>
                <w:rStyle w:val="Hyperlink"/>
                <w:rFonts w:asciiTheme="majorHAnsi" w:hAnsiTheme="majorHAnsi" w:eastAsiaTheme="majorEastAsia" w:cstheme="majorBidi"/>
              </w:rPr>
              <w:t>Selection Criteria</w:t>
            </w:r>
            <w:r>
              <w:tab/>
            </w:r>
            <w:r>
              <w:fldChar w:fldCharType="begin"/>
            </w:r>
            <w:r>
              <w:instrText xml:space="preserve"> PAGEREF _Toc217995838 \h </w:instrText>
            </w:r>
            <w:r>
              <w:fldChar w:fldCharType="separate"/>
            </w:r>
            <w:r>
              <w:t>14</w:t>
            </w:r>
            <w:r>
              <w:fldChar w:fldCharType="end"/>
            </w:r>
          </w:hyperlink>
        </w:p>
        <w:p w:rsidR="00130DAF" w:rsidRDefault="00FF399E" w14:paraId="4578D853" w14:textId="40268FD0">
          <w:pPr>
            <w:pStyle w:val="TOC1"/>
            <w:tabs>
              <w:tab w:val="left" w:pos="720"/>
              <w:tab w:val="right" w:leader="dot" w:pos="9350"/>
            </w:tabs>
            <w:rPr>
              <w:rFonts w:asciiTheme="minorHAnsi" w:hAnsiTheme="minorHAnsi" w:eastAsiaTheme="minorEastAsia" w:cstheme="minorBidi"/>
              <w:sz w:val="24"/>
              <w:szCs w:val="24"/>
              <w14:ligatures w14:val="standardContextual"/>
            </w:rPr>
          </w:pPr>
          <w:hyperlink w:tooltip="#_Toc217995840" w:history="1" w:anchor="_Toc217995840">
            <w:r>
              <w:rPr>
                <w:rStyle w:val="Hyperlink"/>
                <w:rFonts w:asciiTheme="majorHAnsi" w:hAnsiTheme="majorHAnsi" w:eastAsiaTheme="majorEastAsia" w:cstheme="majorBidi"/>
              </w:rPr>
              <w:t>6.3.</w:t>
            </w:r>
            <w:r>
              <w:rPr>
                <w:rFonts w:asciiTheme="minorHAnsi" w:hAnsiTheme="minorHAnsi" w:eastAsiaTheme="minorEastAsia" w:cstheme="minorBidi"/>
                <w:sz w:val="24"/>
                <w:szCs w:val="24"/>
                <w14:ligatures w14:val="standardContextual"/>
              </w:rPr>
              <w:tab/>
            </w:r>
            <w:r>
              <w:rPr>
                <w:rStyle w:val="Hyperlink"/>
                <w:rFonts w:asciiTheme="majorHAnsi" w:hAnsiTheme="majorHAnsi" w:eastAsiaTheme="majorEastAsia" w:cstheme="majorBidi"/>
              </w:rPr>
              <w:t>Version Management and SBOM</w:t>
            </w:r>
            <w:r>
              <w:tab/>
            </w:r>
            <w:r>
              <w:fldChar w:fldCharType="begin"/>
            </w:r>
            <w:r>
              <w:instrText xml:space="preserve"> PAGEREF _Toc217995840 \h </w:instrText>
            </w:r>
            <w:r>
              <w:fldChar w:fldCharType="separate"/>
            </w:r>
            <w:r>
              <w:t>15</w:t>
            </w:r>
            <w:r>
              <w:fldChar w:fldCharType="end"/>
            </w:r>
          </w:hyperlink>
        </w:p>
        <w:p w:rsidR="00130DAF" w:rsidRDefault="00FF399E" w14:paraId="145670BC" w14:textId="6F1CA501">
          <w:pPr>
            <w:pStyle w:val="TOC1"/>
            <w:tabs>
              <w:tab w:val="left" w:pos="720"/>
              <w:tab w:val="right" w:leader="dot" w:pos="9350"/>
            </w:tabs>
            <w:rPr>
              <w:rFonts w:asciiTheme="minorHAnsi" w:hAnsiTheme="minorHAnsi" w:eastAsiaTheme="minorEastAsia" w:cstheme="minorBidi"/>
              <w:sz w:val="24"/>
              <w:szCs w:val="24"/>
              <w14:ligatures w14:val="standardContextual"/>
            </w:rPr>
          </w:pPr>
          <w:hyperlink w:tooltip="#_Toc217995844" w:history="1" w:anchor="_Toc217995844">
            <w:r>
              <w:rPr>
                <w:rStyle w:val="Hyperlink"/>
                <w:rFonts w:asciiTheme="majorHAnsi" w:hAnsiTheme="majorHAnsi" w:eastAsiaTheme="majorEastAsia" w:cstheme="majorBidi"/>
              </w:rPr>
              <w:t>6.4.</w:t>
            </w:r>
            <w:r>
              <w:rPr>
                <w:rFonts w:asciiTheme="minorHAnsi" w:hAnsiTheme="minorHAnsi" w:eastAsiaTheme="minorEastAsia" w:cstheme="minorBidi"/>
                <w:sz w:val="24"/>
                <w:szCs w:val="24"/>
                <w14:ligatures w14:val="standardContextual"/>
              </w:rPr>
              <w:tab/>
            </w:r>
            <w:r>
              <w:rPr>
                <w:rStyle w:val="Hyperlink"/>
                <w:rFonts w:asciiTheme="majorHAnsi" w:hAnsiTheme="majorHAnsi" w:eastAsiaTheme="majorEastAsia" w:cstheme="majorBidi"/>
              </w:rPr>
              <w:t>Approval and Integration Process (SSDLC)</w:t>
            </w:r>
            <w:r>
              <w:tab/>
            </w:r>
            <w:r>
              <w:fldChar w:fldCharType="begin"/>
            </w:r>
            <w:r>
              <w:instrText xml:space="preserve"> PAGEREF _Toc217995844 \h </w:instrText>
            </w:r>
            <w:r>
              <w:fldChar w:fldCharType="separate"/>
            </w:r>
            <w:r>
              <w:t>15</w:t>
            </w:r>
            <w:r>
              <w:fldChar w:fldCharType="end"/>
            </w:r>
          </w:hyperlink>
        </w:p>
        <w:p w:rsidR="00130DAF" w:rsidRDefault="00FF399E" w14:paraId="1DE59D58" w14:textId="0A07EBBC">
          <w:pPr>
            <w:pStyle w:val="TOC1"/>
            <w:tabs>
              <w:tab w:val="left" w:pos="720"/>
              <w:tab w:val="right" w:leader="dot" w:pos="9350"/>
            </w:tabs>
            <w:rPr>
              <w:rFonts w:asciiTheme="minorHAnsi" w:hAnsiTheme="minorHAnsi" w:eastAsiaTheme="minorEastAsia" w:cstheme="minorBidi"/>
              <w:sz w:val="24"/>
              <w:szCs w:val="24"/>
              <w14:ligatures w14:val="standardContextual"/>
            </w:rPr>
          </w:pPr>
          <w:hyperlink w:tooltip="#_Toc217995848" w:history="1" w:anchor="_Toc217995848">
            <w:r>
              <w:rPr>
                <w:rStyle w:val="Hyperlink"/>
                <w:rFonts w:asciiTheme="majorHAnsi" w:hAnsiTheme="majorHAnsi" w:eastAsiaTheme="majorEastAsia" w:cstheme="majorBidi"/>
              </w:rPr>
              <w:t>6.5.</w:t>
            </w:r>
            <w:r>
              <w:rPr>
                <w:rFonts w:asciiTheme="minorHAnsi" w:hAnsiTheme="minorHAnsi" w:eastAsiaTheme="minorEastAsia" w:cstheme="minorBidi"/>
                <w:sz w:val="24"/>
                <w:szCs w:val="24"/>
                <w14:ligatures w14:val="standardContextual"/>
              </w:rPr>
              <w:tab/>
            </w:r>
            <w:r>
              <w:rPr>
                <w:rStyle w:val="Hyperlink"/>
                <w:rFonts w:asciiTheme="majorHAnsi" w:hAnsiTheme="majorHAnsi" w:eastAsiaTheme="majorEastAsia" w:cstheme="majorBidi"/>
              </w:rPr>
              <w:t>Developer Guidelines for Component Selection</w:t>
            </w:r>
            <w:r>
              <w:tab/>
            </w:r>
            <w:r>
              <w:fldChar w:fldCharType="begin"/>
            </w:r>
            <w:r>
              <w:instrText xml:space="preserve"> PAGEREF _Toc217995848 \h </w:instrText>
            </w:r>
            <w:r>
              <w:fldChar w:fldCharType="separate"/>
            </w:r>
            <w:r>
              <w:t>15</w:t>
            </w:r>
            <w:r>
              <w:fldChar w:fldCharType="end"/>
            </w:r>
          </w:hyperlink>
        </w:p>
        <w:p w:rsidR="00130DAF" w:rsidRDefault="00FF399E" w14:paraId="736645DE" w14:textId="7CC37727">
          <w:pPr>
            <w:pStyle w:val="TOC1"/>
            <w:tabs>
              <w:tab w:val="left" w:pos="720"/>
              <w:tab w:val="right" w:leader="dot" w:pos="9350"/>
            </w:tabs>
            <w:rPr>
              <w:rFonts w:asciiTheme="minorHAnsi" w:hAnsiTheme="minorHAnsi" w:eastAsiaTheme="minorEastAsia" w:cstheme="minorBidi"/>
              <w:sz w:val="24"/>
              <w:szCs w:val="24"/>
              <w14:ligatures w14:val="standardContextual"/>
            </w:rPr>
          </w:pPr>
          <w:hyperlink w:tooltip="#_Toc217995853" w:history="1" w:anchor="_Toc217995853">
            <w:r>
              <w:rPr>
                <w:rStyle w:val="Hyperlink"/>
                <w:rFonts w:asciiTheme="majorHAnsi" w:hAnsiTheme="majorHAnsi" w:eastAsiaTheme="majorEastAsia" w:cstheme="majorBidi"/>
              </w:rPr>
              <w:t>6.6.</w:t>
            </w:r>
            <w:r>
              <w:rPr>
                <w:rFonts w:asciiTheme="minorHAnsi" w:hAnsiTheme="minorHAnsi" w:eastAsiaTheme="minorEastAsia" w:cstheme="minorBidi"/>
                <w:sz w:val="24"/>
                <w:szCs w:val="24"/>
                <w14:ligatures w14:val="standardContextual"/>
              </w:rPr>
              <w:tab/>
            </w:r>
            <w:r>
              <w:rPr>
                <w:rStyle w:val="Hyperlink"/>
                <w:rFonts w:asciiTheme="majorHAnsi" w:hAnsiTheme="majorHAnsi" w:eastAsiaTheme="majorEastAsia" w:cstheme="majorBidi"/>
              </w:rPr>
              <w:t>Ongoing Maintenance and Removal</w:t>
            </w:r>
            <w:r>
              <w:tab/>
            </w:r>
            <w:r>
              <w:fldChar w:fldCharType="begin"/>
            </w:r>
            <w:r>
              <w:instrText xml:space="preserve"> PAGEREF _Toc217995853 \h </w:instrText>
            </w:r>
            <w:r>
              <w:fldChar w:fldCharType="separate"/>
            </w:r>
            <w:r>
              <w:t>16</w:t>
            </w:r>
            <w:r>
              <w:fldChar w:fldCharType="end"/>
            </w:r>
          </w:hyperlink>
        </w:p>
        <w:p w:rsidR="00130DAF" w:rsidP="26C3F31D" w:rsidRDefault="00FF399E" w14:paraId="5E4A8679" w14:textId="35935B2C">
          <w:r>
            <w:fldChar w:fldCharType="end"/>
          </w:r>
        </w:p>
      </w:sdtContent>
    </w:sdt>
    <w:p w:rsidR="00130DAF" w:rsidRDefault="00130DAF" w14:paraId="69C833A4" w14:textId="0A6C7F4B">
      <w:pPr>
        <w:pStyle w:val="Heading1"/>
        <w:rPr>
          <w:rFonts w:asciiTheme="majorHAnsi" w:hAnsiTheme="majorHAnsi" w:eastAsiaTheme="majorEastAsia" w:cstheme="majorBidi"/>
          <w:color w:val="000000" w:themeColor="text1"/>
          <w:sz w:val="36"/>
          <w:szCs w:val="36"/>
        </w:rPr>
      </w:pPr>
    </w:p>
    <w:p w:rsidR="00130DAF" w:rsidP="26C3F31D" w:rsidRDefault="26C3F31D" w14:paraId="6010BBA2" w14:textId="77777777">
      <w:pPr>
        <w:pStyle w:val="Heading1"/>
        <w:numPr>
          <w:ilvl w:val="0"/>
          <w:numId w:val="17"/>
        </w:numPr>
        <w:rPr>
          <w:rFonts w:asciiTheme="majorHAnsi" w:hAnsiTheme="majorHAnsi" w:eastAsiaTheme="majorEastAsia" w:cstheme="majorBidi"/>
          <w:color w:val="000000"/>
          <w:sz w:val="36"/>
          <w:szCs w:val="36"/>
        </w:rPr>
      </w:pPr>
      <w:bookmarkStart w:name="_heading=h.inon50j2gwco" w:id="0"/>
      <w:bookmarkStart w:name="_Toc217995783" w:id="1"/>
      <w:bookmarkEnd w:id="0"/>
      <w:r w:rsidRPr="26C3F31D">
        <w:rPr>
          <w:rFonts w:asciiTheme="majorHAnsi" w:hAnsiTheme="majorHAnsi" w:eastAsiaTheme="majorEastAsia" w:cstheme="majorBidi"/>
          <w:color w:val="000000" w:themeColor="text1"/>
          <w:sz w:val="36"/>
          <w:szCs w:val="36"/>
        </w:rPr>
        <w:t>Overview</w:t>
      </w:r>
      <w:bookmarkEnd w:id="1"/>
    </w:p>
    <w:p w:rsidR="00130DAF" w:rsidRDefault="00130DAF" w14:paraId="4E40E00D" w14:textId="77777777">
      <w:pPr>
        <w:pBdr>
          <w:top w:val="none" w:color="000000" w:sz="4" w:space="0"/>
          <w:left w:val="none" w:color="000000" w:sz="4" w:space="0"/>
          <w:bottom w:val="none" w:color="000000" w:sz="4" w:space="0"/>
          <w:right w:val="none" w:color="000000" w:sz="4" w:space="0"/>
          <w:between w:val="none" w:color="000000" w:sz="4" w:space="0"/>
        </w:pBdr>
        <w:spacing w:before="0" w:after="0"/>
        <w:rPr>
          <w:rFonts w:asciiTheme="majorHAnsi" w:hAnsiTheme="majorHAnsi" w:eastAsiaTheme="majorEastAsia" w:cstheme="majorBidi"/>
          <w:color w:val="000000"/>
          <w:sz w:val="24"/>
          <w:szCs w:val="24"/>
        </w:rPr>
      </w:pPr>
    </w:p>
    <w:p w:rsidR="00130DAF" w:rsidRDefault="00FF399E" w14:paraId="7CFB27AA" w14:textId="77777777">
      <w:pPr>
        <w:pBdr>
          <w:top w:val="none" w:color="000000" w:sz="4" w:space="0"/>
          <w:left w:val="none" w:color="000000" w:sz="4" w:space="0"/>
          <w:bottom w:val="none" w:color="000000" w:sz="4" w:space="0"/>
          <w:right w:val="none" w:color="000000" w:sz="4" w:space="0"/>
          <w:between w:val="none" w:color="000000" w:sz="4" w:space="0"/>
        </w:pBdr>
        <w:spacing w:before="0" w:after="0"/>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Information security is an integral part of enSights.ai’s DNA, incorporated from initial planning and design through to the deployment and maintenance of our cloud-native systems. Security is not a "gate" at the end, but a continuous enabler throughout our Agile development lifecycle.</w:t>
      </w:r>
    </w:p>
    <w:p w:rsidR="00130DAF" w:rsidP="26C3F31D" w:rsidRDefault="26C3F31D" w14:paraId="4A2DA197" w14:textId="77777777">
      <w:pPr>
        <w:pStyle w:val="Heading1"/>
        <w:numPr>
          <w:ilvl w:val="0"/>
          <w:numId w:val="17"/>
        </w:numPr>
        <w:rPr>
          <w:rFonts w:asciiTheme="majorHAnsi" w:hAnsiTheme="majorHAnsi" w:eastAsiaTheme="majorEastAsia" w:cstheme="majorBidi"/>
          <w:sz w:val="36"/>
          <w:szCs w:val="36"/>
        </w:rPr>
      </w:pPr>
      <w:bookmarkStart w:name="_heading=h.30j0zll" w:id="2"/>
      <w:bookmarkStart w:name="_Toc217995784" w:id="3"/>
      <w:bookmarkEnd w:id="2"/>
      <w:r w:rsidRPr="26C3F31D">
        <w:rPr>
          <w:rFonts w:asciiTheme="majorHAnsi" w:hAnsiTheme="majorHAnsi" w:eastAsiaTheme="majorEastAsia" w:cstheme="majorBidi"/>
          <w:color w:val="000000" w:themeColor="text1"/>
          <w:sz w:val="36"/>
          <w:szCs w:val="36"/>
        </w:rPr>
        <w:t>Scope</w:t>
      </w:r>
      <w:bookmarkEnd w:id="3"/>
    </w:p>
    <w:p w:rsidR="00130DAF" w:rsidRDefault="00130DAF" w14:paraId="6665422D" w14:textId="77777777">
      <w:pPr>
        <w:pBdr>
          <w:top w:val="none" w:color="000000" w:sz="4" w:space="0"/>
          <w:left w:val="none" w:color="000000" w:sz="4" w:space="0"/>
          <w:bottom w:val="none" w:color="000000" w:sz="4" w:space="0"/>
          <w:right w:val="none" w:color="000000" w:sz="4" w:space="0"/>
          <w:between w:val="none" w:color="000000" w:sz="4" w:space="0"/>
        </w:pBdr>
        <w:spacing w:before="0" w:after="0"/>
        <w:rPr>
          <w:rFonts w:asciiTheme="majorHAnsi" w:hAnsiTheme="majorHAnsi" w:eastAsiaTheme="majorEastAsia" w:cstheme="majorBidi"/>
          <w:color w:val="000000"/>
          <w:sz w:val="24"/>
          <w:szCs w:val="24"/>
        </w:rPr>
      </w:pPr>
    </w:p>
    <w:p w:rsidR="00130DAF" w:rsidRDefault="00FF399E" w14:paraId="539CE902" w14:textId="77777777">
      <w:pPr>
        <w:pBdr>
          <w:top w:val="none" w:color="000000" w:sz="4" w:space="0"/>
          <w:left w:val="none" w:color="000000" w:sz="4" w:space="0"/>
          <w:bottom w:val="none" w:color="000000" w:sz="4" w:space="0"/>
          <w:right w:val="none" w:color="000000" w:sz="4" w:space="0"/>
          <w:between w:val="none" w:color="000000" w:sz="4" w:space="0"/>
        </w:pBdr>
        <w:spacing w:before="0" w:after="0"/>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This policy applies to all R&amp;D staff, DevOps, and leadership responsible for the design, coding, testing, and deployment of enSights.ai applications. It also covers the selection and integration of third-party SaaS tools and cloud-managed services.</w:t>
      </w:r>
    </w:p>
    <w:p w:rsidR="00130DAF" w:rsidP="26C3F31D" w:rsidRDefault="26C3F31D" w14:paraId="45A3D2AF" w14:textId="77777777">
      <w:pPr>
        <w:pStyle w:val="Heading1"/>
        <w:numPr>
          <w:ilvl w:val="0"/>
          <w:numId w:val="17"/>
        </w:numPr>
        <w:rPr>
          <w:rFonts w:asciiTheme="majorHAnsi" w:hAnsiTheme="majorHAnsi" w:eastAsiaTheme="majorEastAsia" w:cstheme="majorBidi"/>
          <w:color w:val="000000"/>
          <w:sz w:val="32"/>
          <w:szCs w:val="32"/>
        </w:rPr>
      </w:pPr>
      <w:bookmarkStart w:name="_heading=h.1fob9te" w:id="4"/>
      <w:bookmarkStart w:name="_Toc217995785" w:id="5"/>
      <w:bookmarkEnd w:id="4"/>
      <w:r w:rsidRPr="26C3F31D">
        <w:rPr>
          <w:rFonts w:asciiTheme="majorHAnsi" w:hAnsiTheme="majorHAnsi" w:eastAsiaTheme="majorEastAsia" w:cstheme="majorBidi"/>
          <w:color w:val="000000" w:themeColor="text1"/>
          <w:sz w:val="36"/>
          <w:szCs w:val="36"/>
        </w:rPr>
        <w:t>Introduction</w:t>
      </w:r>
      <w:bookmarkEnd w:id="5"/>
      <w:r w:rsidRPr="26C3F31D">
        <w:rPr>
          <w:rFonts w:asciiTheme="majorHAnsi" w:hAnsiTheme="majorHAnsi" w:eastAsiaTheme="majorEastAsia" w:cstheme="majorBidi"/>
          <w:color w:val="000000" w:themeColor="text1"/>
          <w:sz w:val="32"/>
          <w:szCs w:val="32"/>
        </w:rPr>
        <w:t xml:space="preserve"> </w:t>
      </w:r>
      <w:r w:rsidR="00FF399E">
        <w:rPr>
          <w:rFonts w:asciiTheme="majorHAnsi" w:hAnsiTheme="majorHAnsi" w:eastAsiaTheme="majorEastAsia" w:cstheme="majorBidi"/>
          <w:color w:val="000000" w:themeColor="text1"/>
          <w:sz w:val="32"/>
          <w:szCs w:val="32"/>
        </w:rPr>
        <w:br/>
      </w:r>
    </w:p>
    <w:p w:rsidR="00130DAF" w:rsidRDefault="00FF399E" w14:paraId="2B244B22" w14:textId="77777777">
      <w:pPr>
        <w:spacing w:before="0" w:after="0"/>
      </w:pPr>
      <w:r>
        <w:rPr>
          <w:rFonts w:asciiTheme="majorHAnsi" w:hAnsiTheme="majorHAnsi" w:eastAsiaTheme="majorEastAsia" w:cstheme="majorBidi"/>
          <w:sz w:val="24"/>
          <w:szCs w:val="24"/>
        </w:rPr>
        <w:t>This policy defines the Secure Development Lifecycle (SDLC) at enSights.ai.</w:t>
      </w:r>
    </w:p>
    <w:p w:rsidR="00130DAF" w:rsidRDefault="00130DAF" w14:paraId="632489C8" w14:textId="77777777">
      <w:pPr>
        <w:spacing w:before="0" w:after="0"/>
        <w:rPr>
          <w:rFonts w:asciiTheme="majorHAnsi" w:hAnsiTheme="majorHAnsi" w:eastAsiaTheme="majorEastAsia" w:cstheme="majorBidi"/>
          <w:sz w:val="24"/>
          <w:szCs w:val="24"/>
        </w:rPr>
      </w:pPr>
    </w:p>
    <w:p w:rsidR="00130DAF" w:rsidP="26C3F31D" w:rsidRDefault="26C3F31D" w14:paraId="5C471423" w14:textId="77777777">
      <w:pPr>
        <w:pStyle w:val="ListParagraph"/>
        <w:numPr>
          <w:ilvl w:val="0"/>
          <w:numId w:val="20"/>
        </w:numPr>
        <w:spacing w:before="0" w:after="0"/>
      </w:pPr>
      <w:r w:rsidRPr="26C3F31D">
        <w:rPr>
          <w:rFonts w:asciiTheme="majorHAnsi" w:hAnsiTheme="majorHAnsi" w:eastAsiaTheme="majorEastAsia" w:cstheme="majorBidi"/>
          <w:sz w:val="24"/>
          <w:szCs w:val="24"/>
        </w:rPr>
        <w:t>“Development” refers to the continuous integration and continuous deployment (CI/CD) of code into our AWS environment.</w:t>
      </w:r>
    </w:p>
    <w:p w:rsidR="00130DAF" w:rsidRDefault="00130DAF" w14:paraId="65CDD725" w14:textId="77777777">
      <w:pPr>
        <w:spacing w:before="0" w:after="0"/>
      </w:pPr>
    </w:p>
    <w:p w:rsidR="00130DAF" w:rsidP="26C3F31D" w:rsidRDefault="26C3F31D" w14:paraId="5309C9D5" w14:textId="77777777">
      <w:pPr>
        <w:pStyle w:val="ListParagraph"/>
        <w:numPr>
          <w:ilvl w:val="0"/>
          <w:numId w:val="20"/>
        </w:numPr>
        <w:spacing w:before="0" w:after="0"/>
      </w:pPr>
      <w:r w:rsidRPr="26C3F31D">
        <w:rPr>
          <w:rFonts w:asciiTheme="majorHAnsi" w:hAnsiTheme="majorHAnsi" w:eastAsiaTheme="majorEastAsia" w:cstheme="majorBidi"/>
          <w:sz w:val="24"/>
          <w:szCs w:val="24"/>
        </w:rPr>
        <w:t>“Acquisition” refers to the vetting and onboarding of SaaS providers and third-party libraries (Open Source).</w:t>
      </w:r>
    </w:p>
    <w:p w:rsidR="00130DAF" w:rsidRDefault="00130DAF" w14:paraId="6941B8BF" w14:textId="77777777">
      <w:pPr>
        <w:spacing w:before="0" w:after="0"/>
      </w:pPr>
    </w:p>
    <w:p w:rsidR="00130DAF" w:rsidP="26C3F31D" w:rsidRDefault="26C3F31D" w14:paraId="1492C4C2" w14:textId="0D2951DE">
      <w:pPr>
        <w:pStyle w:val="ListParagraph"/>
        <w:numPr>
          <w:ilvl w:val="0"/>
          <w:numId w:val="20"/>
        </w:numPr>
        <w:spacing w:before="0" w:after="0"/>
        <w:rPr>
          <w:rFonts w:asciiTheme="majorHAnsi" w:hAnsiTheme="majorHAnsi" w:eastAsiaTheme="majorEastAsia" w:cstheme="majorBidi"/>
          <w:sz w:val="24"/>
          <w:szCs w:val="24"/>
        </w:rPr>
      </w:pPr>
      <w:r w:rsidRPr="26C3F31D">
        <w:rPr>
          <w:rFonts w:asciiTheme="majorHAnsi" w:hAnsiTheme="majorHAnsi" w:eastAsiaTheme="majorEastAsia" w:cstheme="majorBidi"/>
          <w:sz w:val="24"/>
          <w:szCs w:val="24"/>
        </w:rPr>
        <w:t>“Software” encompasses our proprietary AI models, application code, cloud configurations (IaC), and managed databases.</w:t>
      </w:r>
    </w:p>
    <w:p w:rsidR="00130DAF" w:rsidRDefault="00130DAF" w14:paraId="57EEEEF6" w14:textId="77777777">
      <w:pPr>
        <w:spacing w:before="0" w:after="0"/>
        <w:rPr>
          <w:rFonts w:asciiTheme="majorHAnsi" w:hAnsiTheme="majorHAnsi" w:eastAsiaTheme="majorEastAsia" w:cstheme="majorBidi"/>
          <w:sz w:val="24"/>
          <w:szCs w:val="24"/>
        </w:rPr>
      </w:pPr>
    </w:p>
    <w:p w:rsidR="00130DAF" w:rsidRDefault="00130DAF" w14:paraId="39894143" w14:textId="77777777">
      <w:pPr>
        <w:spacing w:before="0" w:after="0"/>
        <w:rPr>
          <w:rFonts w:asciiTheme="majorHAnsi" w:hAnsiTheme="majorHAnsi" w:eastAsiaTheme="majorEastAsia" w:cstheme="majorBidi"/>
          <w:sz w:val="24"/>
          <w:szCs w:val="24"/>
        </w:rPr>
      </w:pPr>
    </w:p>
    <w:p w:rsidR="00130DAF" w:rsidP="26C3F31D" w:rsidRDefault="26C3F31D" w14:paraId="550F9EC7" w14:textId="77777777">
      <w:pPr>
        <w:pStyle w:val="Heading1"/>
        <w:numPr>
          <w:ilvl w:val="0"/>
          <w:numId w:val="17"/>
        </w:numPr>
        <w:rPr>
          <w:rFonts w:asciiTheme="majorHAnsi" w:hAnsiTheme="majorHAnsi" w:eastAsiaTheme="majorEastAsia" w:cstheme="majorBidi"/>
          <w:sz w:val="24"/>
          <w:szCs w:val="24"/>
        </w:rPr>
      </w:pPr>
      <w:bookmarkStart w:name="_heading=h.3znysh7" w:id="6"/>
      <w:bookmarkStart w:name="_Toc217995786" w:id="7"/>
      <w:bookmarkEnd w:id="6"/>
      <w:r w:rsidRPr="26C3F31D">
        <w:rPr>
          <w:rFonts w:asciiTheme="majorHAnsi" w:hAnsiTheme="majorHAnsi" w:eastAsiaTheme="majorEastAsia" w:cstheme="majorBidi"/>
          <w:color w:val="000000" w:themeColor="text1"/>
          <w:sz w:val="24"/>
          <w:szCs w:val="24"/>
        </w:rPr>
        <w:t>Objectives</w:t>
      </w:r>
      <w:bookmarkEnd w:id="7"/>
      <w:r w:rsidRPr="26C3F31D">
        <w:rPr>
          <w:rFonts w:asciiTheme="majorHAnsi" w:hAnsiTheme="majorHAnsi" w:eastAsiaTheme="majorEastAsia" w:cstheme="majorBidi"/>
          <w:color w:val="000000" w:themeColor="text1"/>
          <w:sz w:val="24"/>
          <w:szCs w:val="24"/>
        </w:rPr>
        <w:t xml:space="preserve"> </w:t>
      </w:r>
    </w:p>
    <w:p w:rsidR="00130DAF" w:rsidRDefault="00FF399E" w14:paraId="534B09D0" w14:textId="77777777">
      <w:pPr>
        <w:numPr>
          <w:ilvl w:val="1"/>
          <w:numId w:val="16"/>
        </w:numPr>
        <w:pBdr>
          <w:top w:val="none" w:color="000000" w:sz="4" w:space="0"/>
          <w:left w:val="none" w:color="000000" w:sz="4" w:space="0"/>
          <w:bottom w:val="none" w:color="000000" w:sz="4" w:space="0"/>
          <w:right w:val="none" w:color="000000" w:sz="4" w:space="0"/>
          <w:between w:val="none" w:color="000000" w:sz="4" w:space="0"/>
        </w:pBdr>
        <w:spacing w:before="0" w:after="0"/>
        <w:ind w:left="360"/>
        <w:rPr>
          <w:rFonts w:asciiTheme="majorHAnsi" w:hAnsiTheme="majorHAnsi" w:eastAsiaTheme="majorEastAsia" w:cstheme="majorBidi"/>
          <w:color w:val="000000"/>
          <w:sz w:val="24"/>
          <w:szCs w:val="24"/>
        </w:rPr>
      </w:pPr>
      <w:r>
        <w:rPr>
          <w:rFonts w:asciiTheme="majorHAnsi" w:hAnsiTheme="majorHAnsi" w:eastAsiaTheme="majorEastAsia" w:cstheme="majorBidi"/>
          <w:color w:val="000000" w:themeColor="text1"/>
          <w:sz w:val="24"/>
          <w:szCs w:val="24"/>
        </w:rPr>
        <w:t xml:space="preserve">Identify security considerations that must accompany the processes of acquiring, designing, coding, testing, and implementing software. </w:t>
      </w:r>
    </w:p>
    <w:p w:rsidR="00130DAF" w:rsidRDefault="00FF399E" w14:paraId="00C46262" w14:textId="77777777">
      <w:pPr>
        <w:numPr>
          <w:ilvl w:val="1"/>
          <w:numId w:val="16"/>
        </w:numPr>
        <w:pBdr>
          <w:top w:val="none" w:color="000000" w:sz="4" w:space="0"/>
          <w:left w:val="none" w:color="000000" w:sz="4" w:space="0"/>
          <w:bottom w:val="none" w:color="000000" w:sz="4" w:space="0"/>
          <w:right w:val="none" w:color="000000" w:sz="4" w:space="0"/>
          <w:between w:val="none" w:color="000000" w:sz="4" w:space="0"/>
        </w:pBdr>
        <w:spacing w:before="0" w:after="0"/>
        <w:ind w:left="360"/>
        <w:rPr>
          <w:rFonts w:asciiTheme="majorHAnsi" w:hAnsiTheme="majorHAnsi" w:eastAsiaTheme="majorEastAsia" w:cstheme="majorBidi"/>
          <w:color w:val="000000"/>
          <w:sz w:val="24"/>
          <w:szCs w:val="24"/>
        </w:rPr>
      </w:pPr>
      <w:r>
        <w:rPr>
          <w:rFonts w:asciiTheme="majorHAnsi" w:hAnsiTheme="majorHAnsi" w:eastAsiaTheme="majorEastAsia" w:cstheme="majorBidi"/>
          <w:color w:val="000000" w:themeColor="text1"/>
          <w:sz w:val="24"/>
          <w:szCs w:val="24"/>
        </w:rPr>
        <w:t>Specify security controls that must be incorporated into the design of software or that must be included as features of acquired software.</w:t>
      </w:r>
    </w:p>
    <w:p w:rsidR="00130DAF" w:rsidRDefault="00130DAF" w14:paraId="08FEF9B6" w14:textId="77777777">
      <w:pPr>
        <w:pBdr>
          <w:top w:val="none" w:color="000000" w:sz="4" w:space="0"/>
          <w:left w:val="none" w:color="000000" w:sz="4" w:space="0"/>
          <w:bottom w:val="none" w:color="000000" w:sz="4" w:space="0"/>
          <w:right w:val="none" w:color="000000" w:sz="4" w:space="0"/>
          <w:between w:val="none" w:color="000000" w:sz="4" w:space="0"/>
        </w:pBdr>
        <w:spacing w:before="0" w:after="0"/>
        <w:ind w:left="360"/>
        <w:rPr>
          <w:rFonts w:asciiTheme="majorHAnsi" w:hAnsiTheme="majorHAnsi" w:eastAsiaTheme="majorEastAsia" w:cstheme="majorBidi"/>
          <w:color w:val="000000"/>
          <w:sz w:val="24"/>
          <w:szCs w:val="24"/>
        </w:rPr>
      </w:pPr>
    </w:p>
    <w:p w:rsidR="00130DAF" w:rsidRDefault="00130DAF" w14:paraId="365C698E" w14:textId="30259186"/>
    <w:p w:rsidR="00130DAF" w:rsidP="26C3F31D" w:rsidRDefault="26C3F31D" w14:paraId="38BE5FC2" w14:textId="77777777">
      <w:pPr>
        <w:pStyle w:val="Heading1"/>
        <w:spacing w:before="0"/>
        <w:ind w:left="360"/>
        <w:rPr>
          <w:rFonts w:asciiTheme="majorHAnsi" w:hAnsiTheme="majorHAnsi" w:eastAsiaTheme="majorEastAsia" w:cstheme="majorBidi"/>
          <w:color w:val="000000"/>
          <w:sz w:val="32"/>
          <w:szCs w:val="32"/>
        </w:rPr>
      </w:pPr>
      <w:bookmarkStart w:name="_heading=h.2et92p0" w:id="8"/>
      <w:bookmarkStart w:name="_Toc217995787" w:id="9"/>
      <w:bookmarkEnd w:id="8"/>
      <w:r w:rsidRPr="26C3F31D">
        <w:rPr>
          <w:rFonts w:asciiTheme="majorHAnsi" w:hAnsiTheme="majorHAnsi" w:eastAsiaTheme="majorEastAsia" w:cstheme="majorBidi"/>
          <w:color w:val="000000" w:themeColor="text1"/>
          <w:sz w:val="32"/>
          <w:szCs w:val="32"/>
        </w:rPr>
        <w:t>Development Secure Policy</w:t>
      </w:r>
      <w:bookmarkEnd w:id="9"/>
      <w:r w:rsidRPr="26C3F31D">
        <w:rPr>
          <w:rFonts w:asciiTheme="majorHAnsi" w:hAnsiTheme="majorHAnsi" w:eastAsiaTheme="majorEastAsia" w:cstheme="majorBidi"/>
          <w:color w:val="000000" w:themeColor="text1"/>
          <w:sz w:val="32"/>
          <w:szCs w:val="32"/>
        </w:rPr>
        <w:t xml:space="preserve"> </w:t>
      </w:r>
    </w:p>
    <w:p w:rsidR="00130DAF" w:rsidRDefault="00130DAF" w14:paraId="7A6C73FF" w14:textId="77777777">
      <w:pPr>
        <w:spacing w:before="0" w:after="0"/>
        <w:jc w:val="left"/>
        <w:rPr>
          <w:rFonts w:asciiTheme="majorHAnsi" w:hAnsiTheme="majorHAnsi" w:eastAsiaTheme="majorEastAsia" w:cstheme="majorBidi"/>
          <w:sz w:val="24"/>
          <w:szCs w:val="24"/>
        </w:rPr>
      </w:pPr>
    </w:p>
    <w:p w:rsidR="00130DAF" w:rsidP="26C3F31D" w:rsidRDefault="26C3F31D" w14:paraId="2DAAEFFB" w14:textId="77777777">
      <w:pPr>
        <w:pStyle w:val="Heading1"/>
        <w:spacing w:before="0"/>
        <w:rPr>
          <w:rFonts w:asciiTheme="majorHAnsi" w:hAnsiTheme="majorHAnsi" w:eastAsiaTheme="majorEastAsia" w:cstheme="majorBidi"/>
          <w:color w:val="000000"/>
          <w:sz w:val="24"/>
          <w:szCs w:val="24"/>
        </w:rPr>
      </w:pPr>
      <w:bookmarkStart w:name="_heading=h.tyjcwt" w:id="10"/>
      <w:bookmarkStart w:name="_Toc217995788" w:id="11"/>
      <w:bookmarkEnd w:id="10"/>
      <w:r w:rsidRPr="26C3F31D">
        <w:rPr>
          <w:rFonts w:asciiTheme="majorHAnsi" w:hAnsiTheme="majorHAnsi" w:eastAsiaTheme="majorEastAsia" w:cstheme="majorBidi"/>
          <w:color w:val="000000" w:themeColor="text1"/>
          <w:sz w:val="24"/>
          <w:szCs w:val="24"/>
        </w:rPr>
        <w:t>Development of Secure Software</w:t>
      </w:r>
      <w:bookmarkEnd w:id="11"/>
      <w:r w:rsidRPr="26C3F31D">
        <w:rPr>
          <w:rFonts w:asciiTheme="majorHAnsi" w:hAnsiTheme="majorHAnsi" w:eastAsiaTheme="majorEastAsia" w:cstheme="majorBidi"/>
          <w:color w:val="000000" w:themeColor="text1"/>
          <w:sz w:val="24"/>
          <w:szCs w:val="24"/>
        </w:rPr>
        <w:t xml:space="preserve"> </w:t>
      </w:r>
    </w:p>
    <w:p w:rsidR="00130DAF" w:rsidRDefault="00FF399E" w14:paraId="503CC844" w14:textId="77777777">
      <w:pPr>
        <w:ind w:left="709"/>
      </w:pPr>
      <w:r>
        <w:rPr>
          <w:rFonts w:asciiTheme="majorHAnsi" w:hAnsiTheme="majorHAnsi" w:eastAsiaTheme="majorEastAsia" w:cstheme="majorBidi"/>
          <w:b/>
          <w:bCs/>
          <w:sz w:val="24"/>
          <w:szCs w:val="24"/>
        </w:rPr>
        <w:t>Security by Design:</w:t>
      </w:r>
      <w:r>
        <w:rPr>
          <w:rFonts w:asciiTheme="majorHAnsi" w:hAnsiTheme="majorHAnsi" w:eastAsiaTheme="majorEastAsia" w:cstheme="majorBidi"/>
          <w:sz w:val="24"/>
          <w:szCs w:val="24"/>
        </w:rPr>
        <w:t xml:space="preserve"> Security requirements must be identified during the initial planning and design phase of any feature. For AI-related features, this includes data privacy and protection against prompt injection.</w:t>
      </w:r>
    </w:p>
    <w:p w:rsidR="00130DAF" w:rsidRDefault="00FF399E" w14:paraId="788D6651" w14:textId="77777777">
      <w:pPr>
        <w:ind w:left="709"/>
      </w:pPr>
      <w:r>
        <w:rPr>
          <w:rFonts w:asciiTheme="majorHAnsi" w:hAnsiTheme="majorHAnsi" w:eastAsiaTheme="majorEastAsia" w:cstheme="majorBidi"/>
          <w:b/>
          <w:bCs/>
          <w:sz w:val="24"/>
          <w:szCs w:val="24"/>
        </w:rPr>
        <w:t>Peer Review:</w:t>
      </w:r>
      <w:r>
        <w:rPr>
          <w:rFonts w:asciiTheme="majorHAnsi" w:hAnsiTheme="majorHAnsi" w:eastAsiaTheme="majorEastAsia" w:cstheme="majorBidi"/>
          <w:sz w:val="24"/>
          <w:szCs w:val="24"/>
        </w:rPr>
        <w:t xml:space="preserve"> All code changes must be submitted via a Pull Request (PR) in the version control system. At least one qualified peer review and approval are mandatory before merging into the production branch.</w:t>
      </w:r>
    </w:p>
    <w:p w:rsidR="00130DAF" w:rsidRDefault="00FF399E" w14:paraId="2A8A506A" w14:textId="77777777">
      <w:pPr>
        <w:ind w:left="709"/>
      </w:pPr>
      <w:r>
        <w:rPr>
          <w:rFonts w:asciiTheme="majorHAnsi" w:hAnsiTheme="majorHAnsi" w:eastAsiaTheme="majorEastAsia" w:cstheme="majorBidi"/>
          <w:b/>
          <w:bCs/>
          <w:sz w:val="24"/>
          <w:szCs w:val="24"/>
        </w:rPr>
        <w:t>Segregation of Environments</w:t>
      </w:r>
      <w:r>
        <w:rPr>
          <w:rFonts w:asciiTheme="majorHAnsi" w:hAnsiTheme="majorHAnsi" w:eastAsiaTheme="majorEastAsia" w:cstheme="majorBidi"/>
          <w:sz w:val="24"/>
          <w:szCs w:val="24"/>
        </w:rPr>
        <w:t>: Development, Staging, and Production environments must be logically separated within the cloud infrastructure. Development and Staging environments shall not contain actual customer data.</w:t>
      </w:r>
    </w:p>
    <w:p w:rsidR="00130DAF" w:rsidRDefault="00130DAF" w14:paraId="66783099" w14:textId="77777777"/>
    <w:p w:rsidR="00130DAF" w:rsidRDefault="00FF399E" w14:paraId="1ED12EA4" w14:textId="77777777">
      <w:pPr>
        <w:rPr>
          <w:b/>
          <w:bCs/>
        </w:rPr>
      </w:pPr>
      <w:r>
        <w:rPr>
          <w:rFonts w:asciiTheme="majorHAnsi" w:hAnsiTheme="majorHAnsi" w:eastAsiaTheme="majorEastAsia" w:cstheme="majorBidi"/>
          <w:b/>
          <w:bCs/>
          <w:sz w:val="24"/>
          <w:szCs w:val="24"/>
        </w:rPr>
        <w:t>Automated Security Testing (SAST/SCA)</w:t>
      </w:r>
    </w:p>
    <w:p w:rsidR="00130DAF" w:rsidRDefault="00FF399E" w14:paraId="7E0CBE69" w14:textId="77777777">
      <w:pPr>
        <w:ind w:left="709"/>
      </w:pPr>
      <w:r>
        <w:rPr>
          <w:rFonts w:asciiTheme="majorHAnsi" w:hAnsiTheme="majorHAnsi" w:eastAsiaTheme="majorEastAsia" w:cstheme="majorBidi"/>
          <w:b/>
          <w:bCs/>
          <w:sz w:val="24"/>
          <w:szCs w:val="24"/>
        </w:rPr>
        <w:t>Continuous Scanning:</w:t>
      </w:r>
      <w:r>
        <w:rPr>
          <w:rFonts w:asciiTheme="majorHAnsi" w:hAnsiTheme="majorHAnsi" w:eastAsiaTheme="majorEastAsia" w:cstheme="majorBidi"/>
          <w:sz w:val="24"/>
          <w:szCs w:val="24"/>
        </w:rPr>
        <w:t xml:space="preserve"> Every code contribution is automatically scanned for Static Application Security Testing (SAST) and Software Composition Analysis (SCA) using the company’s integrated security tools.</w:t>
      </w:r>
    </w:p>
    <w:p w:rsidR="00130DAF" w:rsidRDefault="00FF399E" w14:paraId="41FF38E1" w14:textId="77777777">
      <w:pPr>
        <w:ind w:left="709"/>
      </w:pPr>
      <w:r>
        <w:rPr>
          <w:rFonts w:asciiTheme="majorHAnsi" w:hAnsiTheme="majorHAnsi" w:eastAsiaTheme="majorEastAsia" w:cstheme="majorBidi"/>
          <w:b/>
          <w:bCs/>
          <w:sz w:val="24"/>
          <w:szCs w:val="24"/>
        </w:rPr>
        <w:t>Developer Feedback Loop:</w:t>
      </w:r>
      <w:r>
        <w:rPr>
          <w:rFonts w:asciiTheme="majorHAnsi" w:hAnsiTheme="majorHAnsi" w:eastAsiaTheme="majorEastAsia" w:cstheme="majorBidi"/>
          <w:sz w:val="24"/>
          <w:szCs w:val="24"/>
        </w:rPr>
        <w:t xml:space="preserve"> Security alerts and detected vulnerabilities are pushed directly to developers via the company’s internal communication platform for immediate awareness.</w:t>
      </w:r>
    </w:p>
    <w:p w:rsidR="00130DAF" w:rsidRDefault="00FF399E" w14:paraId="033840E2" w14:textId="77777777">
      <w:pPr>
        <w:ind w:left="709"/>
        <w:rPr>
          <w:sz w:val="24"/>
          <w:szCs w:val="24"/>
        </w:rPr>
      </w:pPr>
      <w:r>
        <w:rPr>
          <w:rFonts w:asciiTheme="majorHAnsi" w:hAnsiTheme="majorHAnsi" w:eastAsiaTheme="majorEastAsia" w:cstheme="majorBidi"/>
          <w:b/>
          <w:bCs/>
          <w:sz w:val="24"/>
          <w:szCs w:val="24"/>
        </w:rPr>
        <w:t>Secrets Prevention:</w:t>
      </w:r>
      <w:r>
        <w:rPr>
          <w:rFonts w:asciiTheme="majorHAnsi" w:hAnsiTheme="majorHAnsi" w:eastAsiaTheme="majorEastAsia" w:cstheme="majorBidi"/>
          <w:sz w:val="24"/>
          <w:szCs w:val="24"/>
        </w:rPr>
        <w:t xml:space="preserve"> Automated secrets detection is utilized to identify and mitigate the risk of credentials (API keys, tokens, passwords) being committed to version control.</w:t>
      </w:r>
    </w:p>
    <w:p w:rsidR="00130DAF" w:rsidRDefault="00130DAF" w14:paraId="4E263ADE" w14:textId="77777777">
      <w:pPr>
        <w:rPr>
          <w:rFonts w:asciiTheme="majorHAnsi" w:hAnsiTheme="majorHAnsi" w:eastAsiaTheme="majorEastAsia" w:cstheme="majorBidi"/>
          <w:sz w:val="24"/>
          <w:szCs w:val="24"/>
        </w:rPr>
      </w:pPr>
    </w:p>
    <w:p w:rsidR="00130DAF" w:rsidRDefault="00FF399E" w14:paraId="14694138" w14:textId="77777777">
      <w:pPr>
        <w:pStyle w:val="Heading4"/>
        <w:pBdr>
          <w:top w:val="none" w:color="000000" w:sz="4" w:space="0"/>
          <w:left w:val="none" w:color="000000" w:sz="4" w:space="0"/>
          <w:bottom w:val="none" w:color="000000" w:sz="4" w:space="0"/>
          <w:right w:val="none" w:color="000000" w:sz="4" w:space="0"/>
        </w:pBdr>
        <w:rPr>
          <w:rFonts w:ascii="Calibri" w:hAnsi="Calibri" w:cs="Calibri"/>
        </w:rPr>
      </w:pPr>
      <w:r>
        <w:rPr>
          <w:rFonts w:ascii="Calibri" w:hAnsi="Calibri" w:eastAsia="Calibri" w:cs="Calibri"/>
          <w:b/>
          <w:color w:val="000000"/>
          <w:sz w:val="24"/>
        </w:rPr>
        <w:t>Risk-Based Remediation</w:t>
      </w:r>
    </w:p>
    <w:p w:rsidR="00130DAF" w:rsidRDefault="00FF399E" w14:paraId="0A653AA0" w14:textId="77777777">
      <w:pPr>
        <w:pBdr>
          <w:top w:val="none" w:color="000000" w:sz="4" w:space="0"/>
          <w:left w:val="none" w:color="000000" w:sz="4" w:space="0"/>
          <w:bottom w:val="none" w:color="000000" w:sz="4" w:space="0"/>
          <w:right w:val="none" w:color="000000" w:sz="4" w:space="0"/>
        </w:pBdr>
        <w:ind w:left="709"/>
        <w:rPr>
          <w:rFonts w:ascii="Calibri" w:hAnsi="Calibri" w:cs="Calibri"/>
        </w:rPr>
      </w:pPr>
      <w:r>
        <w:rPr>
          <w:rFonts w:ascii="Calibri" w:hAnsi="Calibri" w:eastAsia="Calibri" w:cs="Calibri"/>
          <w:color w:val="000000"/>
          <w:sz w:val="24"/>
        </w:rPr>
        <w:t>Rather than manual documentation for every bug, the company uses an automated risk-based triage process:</w:t>
      </w:r>
    </w:p>
    <w:p w:rsidR="00130DAF" w:rsidRDefault="00FF399E" w14:paraId="4EEDAAA1" w14:textId="77777777">
      <w:pPr>
        <w:pStyle w:val="ListParagraph"/>
        <w:numPr>
          <w:ilvl w:val="1"/>
          <w:numId w:val="22"/>
        </w:numPr>
        <w:pBdr>
          <w:top w:val="none" w:color="000000" w:sz="4" w:space="0"/>
          <w:left w:val="none" w:color="000000" w:sz="4" w:space="0"/>
          <w:bottom w:val="none" w:color="000000" w:sz="4" w:space="0"/>
          <w:right w:val="none" w:color="000000" w:sz="4" w:space="0"/>
        </w:pBdr>
        <w:rPr>
          <w:rFonts w:ascii="Calibri" w:hAnsi="Calibri" w:cs="Calibri"/>
        </w:rPr>
      </w:pPr>
      <w:r>
        <w:rPr>
          <w:rFonts w:ascii="Calibri" w:hAnsi="Calibri" w:eastAsia="Calibri" w:cs="Calibri"/>
          <w:b/>
          <w:color w:val="000000"/>
          <w:sz w:val="24"/>
        </w:rPr>
        <w:t>Triage:</w:t>
      </w:r>
      <w:r>
        <w:rPr>
          <w:rFonts w:ascii="Calibri" w:hAnsi="Calibri" w:eastAsia="Calibri" w:cs="Calibri"/>
          <w:color w:val="000000"/>
          <w:sz w:val="24"/>
        </w:rPr>
        <w:t xml:space="preserve"> Developers review security alerts in real-time.</w:t>
      </w:r>
    </w:p>
    <w:p w:rsidR="00130DAF" w:rsidRDefault="00FF399E" w14:paraId="7977F428" w14:textId="77777777">
      <w:pPr>
        <w:pStyle w:val="ListParagraph"/>
        <w:numPr>
          <w:ilvl w:val="1"/>
          <w:numId w:val="22"/>
        </w:numPr>
        <w:pBdr>
          <w:top w:val="none" w:color="000000" w:sz="4" w:space="0"/>
          <w:left w:val="none" w:color="000000" w:sz="4" w:space="0"/>
          <w:bottom w:val="none" w:color="000000" w:sz="4" w:space="0"/>
          <w:right w:val="none" w:color="000000" w:sz="4" w:space="0"/>
        </w:pBdr>
        <w:rPr>
          <w:rFonts w:ascii="Calibri" w:hAnsi="Calibri" w:cs="Calibri"/>
        </w:rPr>
      </w:pPr>
      <w:r>
        <w:rPr>
          <w:rFonts w:ascii="Calibri" w:hAnsi="Calibri" w:eastAsia="Calibri" w:cs="Calibri"/>
          <w:b/>
          <w:color w:val="000000"/>
          <w:sz w:val="24"/>
        </w:rPr>
        <w:t>SLA:</w:t>
      </w:r>
      <w:r>
        <w:rPr>
          <w:rFonts w:ascii="Calibri" w:hAnsi="Calibri" w:eastAsia="Calibri" w:cs="Calibri"/>
          <w:color w:val="000000"/>
          <w:sz w:val="24"/>
        </w:rPr>
        <w:t xml:space="preserve"> Critical and High vulnerabilities must be addressed according to the company’s defined remediation timelines:</w:t>
      </w:r>
    </w:p>
    <w:p w:rsidR="00130DAF" w:rsidRDefault="00FF399E" w14:paraId="01F8F9B6" w14:textId="77777777">
      <w:pPr>
        <w:pStyle w:val="ListParagraph"/>
        <w:numPr>
          <w:ilvl w:val="2"/>
          <w:numId w:val="23"/>
        </w:numPr>
        <w:pBdr>
          <w:top w:val="none" w:color="000000" w:sz="4" w:space="0"/>
          <w:left w:val="none" w:color="000000" w:sz="4" w:space="0"/>
          <w:bottom w:val="none" w:color="000000" w:sz="4" w:space="0"/>
          <w:right w:val="none" w:color="000000" w:sz="4" w:space="0"/>
        </w:pBdr>
        <w:rPr>
          <w:rFonts w:ascii="Calibri" w:hAnsi="Calibri" w:cs="Calibri"/>
        </w:rPr>
      </w:pPr>
      <w:r>
        <w:rPr>
          <w:rFonts w:ascii="Calibri" w:hAnsi="Calibri" w:eastAsia="Calibri" w:cs="Calibri"/>
          <w:b/>
          <w:color w:val="000000"/>
          <w:sz w:val="24"/>
        </w:rPr>
        <w:t>Critical: Fix or mitigate within 72 hours.</w:t>
      </w:r>
      <w:r>
        <w:rPr>
          <w:rFonts w:ascii="Calibri" w:hAnsi="Calibri" w:eastAsia="Calibri" w:cs="Calibri"/>
          <w:color w:val="000000"/>
          <w:sz w:val="24"/>
        </w:rPr>
      </w:r>
      <w:r>
        <w:rPr>
          <w:rFonts w:ascii="Calibri" w:hAnsi="Calibri" w:eastAsia="Calibri" w:cs="Calibri"/>
          <w:color w:val="000000"/>
          <w:sz w:val="24"/>
        </w:rPr>
      </w:r>
    </w:p>
    <w:p w:rsidR="00130DAF" w:rsidRDefault="00FF399E" w14:paraId="53213924" w14:textId="77777777">
      <w:pPr>
        <w:pStyle w:val="ListParagraph"/>
        <w:numPr>
          <w:ilvl w:val="2"/>
          <w:numId w:val="23"/>
        </w:numPr>
        <w:pBdr>
          <w:top w:val="none" w:color="000000" w:sz="4" w:space="0"/>
          <w:left w:val="none" w:color="000000" w:sz="4" w:space="0"/>
          <w:bottom w:val="none" w:color="000000" w:sz="4" w:space="0"/>
          <w:right w:val="none" w:color="000000" w:sz="4" w:space="0"/>
        </w:pBdr>
        <w:rPr>
          <w:rFonts w:ascii="Calibri" w:hAnsi="Calibri" w:cs="Calibri"/>
        </w:rPr>
      </w:pPr>
      <w:r>
        <w:rPr>
          <w:rFonts w:ascii="Calibri" w:hAnsi="Calibri" w:eastAsia="Calibri" w:cs="Calibri"/>
          <w:b/>
          <w:color w:val="000000"/>
          <w:sz w:val="24"/>
        </w:rPr>
        <w:t>High: Fix or mitigate within 14 days. Medium: within 30 days. Low: within 90 days.</w:t>
      </w:r>
      <w:r>
        <w:rPr>
          <w:rFonts w:ascii="Calibri" w:hAnsi="Calibri" w:eastAsia="Calibri" w:cs="Calibri"/>
          <w:color w:val="000000"/>
          <w:sz w:val="24"/>
        </w:rPr>
      </w:r>
      <w:r>
        <w:rPr>
          <w:rFonts w:ascii="Calibri" w:hAnsi="Calibri" w:eastAsia="Calibri" w:cs="Calibri"/>
          <w:color w:val="000000"/>
          <w:sz w:val="24"/>
        </w:rPr>
      </w:r>
      <w:r>
        <w:rPr>
          <w:rFonts w:ascii="Calibri" w:hAnsi="Calibri" w:eastAsia="Calibri" w:cs="Calibri"/>
          <w:color w:val="000000"/>
          <w:sz w:val="24"/>
        </w:rPr>
      </w:r>
    </w:p>
    <w:p w:rsidR="00130DAF" w:rsidRDefault="00FF399E" w14:paraId="36861696" w14:textId="77777777">
      <w:pPr>
        <w:pStyle w:val="Heading4"/>
        <w:pBdr>
          <w:top w:val="none" w:color="000000" w:sz="4" w:space="0"/>
          <w:left w:val="none" w:color="000000" w:sz="4" w:space="0"/>
          <w:bottom w:val="none" w:color="000000" w:sz="4" w:space="0"/>
          <w:right w:val="none" w:color="000000" w:sz="4" w:space="0"/>
        </w:pBdr>
        <w:rPr>
          <w:rFonts w:ascii="Calibri" w:hAnsi="Calibri" w:cs="Calibri"/>
        </w:rPr>
      </w:pPr>
      <w:r>
        <w:rPr>
          <w:rFonts w:ascii="Calibri" w:hAnsi="Calibri" w:eastAsia="Calibri" w:cs="Calibri"/>
          <w:b/>
          <w:color w:val="000000"/>
          <w:sz w:val="24"/>
        </w:rPr>
        <w:t>Secure Coding Standards</w:t>
      </w:r>
    </w:p>
    <w:p w:rsidR="00130DAF" w:rsidRDefault="00FF399E" w14:paraId="7AA97C4D" w14:textId="77777777">
      <w:pPr>
        <w:pStyle w:val="ListParagraph"/>
        <w:numPr>
          <w:ilvl w:val="0"/>
          <w:numId w:val="24"/>
        </w:numPr>
        <w:pBdr>
          <w:top w:val="none" w:color="000000" w:sz="4" w:space="0"/>
          <w:left w:val="none" w:color="000000" w:sz="4" w:space="0"/>
          <w:bottom w:val="none" w:color="000000" w:sz="4" w:space="0"/>
          <w:right w:val="none" w:color="000000" w:sz="4" w:space="0"/>
        </w:pBdr>
        <w:rPr>
          <w:rFonts w:ascii="Calibri" w:hAnsi="Calibri" w:cs="Calibri"/>
        </w:rPr>
      </w:pPr>
      <w:r>
        <w:rPr>
          <w:rFonts w:ascii="Calibri" w:hAnsi="Calibri" w:eastAsia="Calibri" w:cs="Calibri"/>
          <w:b/>
          <w:color w:val="000000"/>
          <w:sz w:val="24"/>
        </w:rPr>
        <w:t>Standard Compliance:</w:t>
      </w:r>
      <w:r>
        <w:rPr>
          <w:rFonts w:ascii="Calibri" w:hAnsi="Calibri" w:eastAsia="Calibri" w:cs="Calibri"/>
          <w:color w:val="000000"/>
          <w:sz w:val="24"/>
        </w:rPr>
        <w:t xml:space="preserve"> Developers must adhere to industry-recognized standards (such as </w:t>
      </w:r>
      <w:r>
        <w:rPr>
          <w:rFonts w:ascii="Calibri" w:hAnsi="Calibri" w:eastAsia="Calibri" w:cs="Calibri"/>
          <w:color w:val="000000"/>
          <w:sz w:val="24"/>
        </w:rPr>
        <w:t xml:space="preserve">OWASP Top 10 and the OWASP Top 10 for LLM Applications) </w:t>
      </w:r>
      <w:r>
        <w:rPr>
          <w:rFonts w:ascii="Calibri" w:hAnsi="Calibri" w:eastAsia="Calibri" w:cs="Calibri"/>
          <w:color w:val="000000"/>
          <w:sz w:val="24"/>
        </w:rPr>
        <w:t>to ensure protection against common injection and data exposure attacks.</w:t>
      </w:r>
    </w:p>
    <w:p w:rsidR="00130DAF" w:rsidRDefault="00FF399E" w14:paraId="4C155375" w14:textId="77777777">
      <w:pPr>
        <w:pStyle w:val="ListParagraph"/>
        <w:numPr>
          <w:ilvl w:val="0"/>
          <w:numId w:val="24"/>
        </w:numPr>
        <w:pBdr>
          <w:top w:val="none" w:color="000000" w:sz="4" w:space="0"/>
          <w:left w:val="none" w:color="000000" w:sz="4" w:space="0"/>
          <w:bottom w:val="none" w:color="000000" w:sz="4" w:space="0"/>
          <w:right w:val="none" w:color="000000" w:sz="4" w:space="0"/>
        </w:pBdr>
        <w:rPr>
          <w:rFonts w:ascii="Calibri" w:hAnsi="Calibri" w:cs="Calibri"/>
        </w:rPr>
      </w:pPr>
      <w:r>
        <w:rPr>
          <w:rFonts w:ascii="Calibri" w:hAnsi="Calibri" w:eastAsia="Calibri" w:cs="Calibri"/>
          <w:b/>
          <w:color w:val="000000"/>
          <w:sz w:val="24"/>
        </w:rPr>
        <w:t>Secrets Management:</w:t>
      </w:r>
      <w:r>
        <w:rPr>
          <w:rFonts w:ascii="Calibri" w:hAnsi="Calibri" w:eastAsia="Calibri" w:cs="Calibri"/>
          <w:color w:val="000000"/>
          <w:sz w:val="24"/>
        </w:rPr>
        <w:t xml:space="preserve"> Under no circumstances shall secrets be stored in plain text within source code. All secrets must be managed using the company’s approved cloud-based secrets management service.</w:t>
      </w:r>
    </w:p>
    <w:p w:rsidR="00130DAF" w:rsidRDefault="00130DAF" w14:paraId="460985F1" w14:textId="77777777">
      <w:pPr>
        <w:rPr>
          <w:rFonts w:asciiTheme="majorHAnsi" w:hAnsiTheme="majorHAnsi" w:eastAsiaTheme="majorEastAsia" w:cstheme="majorBidi"/>
          <w:sz w:val="24"/>
          <w:szCs w:val="24"/>
        </w:rPr>
      </w:pPr>
    </w:p>
    <w:p w:rsidR="00130DAF" w:rsidP="26C3F31D" w:rsidRDefault="26C3F31D" w14:paraId="17A05FF3" w14:textId="77777777">
      <w:pPr>
        <w:pStyle w:val="Heading1"/>
        <w:spacing w:before="0"/>
        <w:rPr>
          <w:rFonts w:asciiTheme="majorHAnsi" w:hAnsiTheme="majorHAnsi" w:eastAsiaTheme="majorEastAsia" w:cstheme="majorBidi"/>
          <w:color w:val="000000"/>
          <w:sz w:val="24"/>
          <w:szCs w:val="24"/>
        </w:rPr>
      </w:pPr>
      <w:bookmarkStart w:name="_heading=h.3dy6vkm" w:id="12"/>
      <w:bookmarkStart w:name="_Toc217995799" w:id="13"/>
      <w:bookmarkEnd w:id="12"/>
      <w:r w:rsidRPr="26C3F31D">
        <w:rPr>
          <w:rFonts w:asciiTheme="majorHAnsi" w:hAnsiTheme="majorHAnsi" w:eastAsiaTheme="majorEastAsia" w:cstheme="majorBidi"/>
          <w:color w:val="000000" w:themeColor="text1"/>
          <w:sz w:val="24"/>
          <w:szCs w:val="24"/>
        </w:rPr>
        <w:t>Acquisition of Secure Software</w:t>
      </w:r>
      <w:bookmarkEnd w:id="13"/>
      <w:r w:rsidRPr="26C3F31D">
        <w:rPr>
          <w:rFonts w:asciiTheme="majorHAnsi" w:hAnsiTheme="majorHAnsi" w:eastAsiaTheme="majorEastAsia" w:cstheme="majorBidi"/>
          <w:color w:val="000000" w:themeColor="text1"/>
          <w:sz w:val="24"/>
          <w:szCs w:val="24"/>
        </w:rPr>
        <w:t xml:space="preserve"> </w:t>
      </w:r>
    </w:p>
    <w:p w:rsidR="00130DAF" w:rsidRDefault="00130DAF" w14:paraId="7E8DAF6F" w14:textId="77777777">
      <w:pPr>
        <w:spacing w:before="0" w:after="0"/>
        <w:jc w:val="left"/>
        <w:rPr>
          <w:rFonts w:asciiTheme="majorHAnsi" w:hAnsiTheme="majorHAnsi" w:eastAsiaTheme="majorEastAsia" w:cstheme="majorBidi"/>
          <w:sz w:val="24"/>
          <w:szCs w:val="24"/>
        </w:rPr>
      </w:pPr>
    </w:p>
    <w:p w:rsidR="00130DAF" w:rsidRDefault="00FF399E" w14:paraId="4693ED05" w14:textId="77777777">
      <w:pPr>
        <w:pStyle w:val="ListParagraph"/>
        <w:numPr>
          <w:ilvl w:val="0"/>
          <w:numId w:val="25"/>
        </w:numPr>
      </w:pPr>
      <w:r>
        <w:rPr>
          <w:rFonts w:asciiTheme="majorHAnsi" w:hAnsiTheme="majorHAnsi" w:eastAsiaTheme="majorEastAsia" w:cstheme="majorBidi"/>
          <w:b/>
          <w:bCs/>
          <w:sz w:val="24"/>
          <w:szCs w:val="24"/>
        </w:rPr>
        <w:t>Vendor Assessment:</w:t>
      </w:r>
      <w:r>
        <w:rPr>
          <w:rFonts w:asciiTheme="majorHAnsi" w:hAnsiTheme="majorHAnsi" w:eastAsiaTheme="majorEastAsia" w:cstheme="majorBidi"/>
          <w:sz w:val="24"/>
          <w:szCs w:val="24"/>
        </w:rPr>
        <w:t xml:space="preserve"> Before acquiring new SaaS services, a security assessment is performed, prioritizing vendors with recognized security certifications (e.g., SOC 2 Type II or ISO 27001).</w:t>
      </w:r>
    </w:p>
    <w:p w:rsidR="00130DAF" w:rsidRDefault="00FF399E" w14:paraId="060E4EDB" w14:textId="77777777">
      <w:pPr>
        <w:pStyle w:val="ListParagraph"/>
        <w:numPr>
          <w:ilvl w:val="0"/>
          <w:numId w:val="25"/>
        </w:numPr>
        <w:rPr>
          <w:rFonts w:asciiTheme="majorHAnsi" w:hAnsiTheme="majorHAnsi" w:eastAsiaTheme="majorEastAsia" w:cstheme="majorBidi"/>
          <w:sz w:val="24"/>
          <w:szCs w:val="24"/>
        </w:rPr>
      </w:pPr>
      <w:r>
        <w:rPr>
          <w:rFonts w:asciiTheme="majorHAnsi" w:hAnsiTheme="majorHAnsi" w:eastAsiaTheme="majorEastAsia" w:cstheme="majorBidi"/>
          <w:b/>
          <w:bCs/>
          <w:sz w:val="24"/>
          <w:szCs w:val="24"/>
        </w:rPr>
        <w:t>Supply Chain Security:</w:t>
      </w:r>
      <w:r>
        <w:rPr>
          <w:rFonts w:asciiTheme="majorHAnsi" w:hAnsiTheme="majorHAnsi" w:eastAsiaTheme="majorEastAsia" w:cstheme="majorBidi"/>
          <w:sz w:val="24"/>
          <w:szCs w:val="24"/>
        </w:rPr>
        <w:t xml:space="preserve"> Third-party libraries are continuously monitored. Any library with a critical vulnerability must be updated or replaced promptly.</w:t>
      </w:r>
    </w:p>
    <w:p w:rsidR="00130DAF" w:rsidRDefault="00130DAF" w14:paraId="45055635" w14:textId="01A964F6">
      <w:pPr>
        <w:rPr>
          <w:rFonts w:asciiTheme="majorHAnsi" w:hAnsiTheme="majorHAnsi" w:eastAsiaTheme="majorEastAsia" w:cstheme="majorBidi"/>
          <w:sz w:val="24"/>
          <w:szCs w:val="24"/>
        </w:rPr>
      </w:pPr>
    </w:p>
    <w:p w:rsidR="00130DAF" w:rsidP="54EC77A0" w:rsidRDefault="00130DAF" w14:paraId="59990F59" w14:textId="663F7EDE">
      <w:pPr>
        <w:pStyle w:val="Normal"/>
        <w:rPr>
          <w:rFonts w:ascii="Calibri" w:hAnsi="Calibri" w:eastAsia="Arial" w:cs="Arial" w:asciiTheme="majorAscii" w:hAnsiTheme="majorAscii" w:eastAsiaTheme="majorEastAsia" w:cstheme="majorBidi"/>
          <w:sz w:val="24"/>
          <w:szCs w:val="24"/>
        </w:rPr>
      </w:pPr>
    </w:p>
    <w:p w:rsidR="26C3F31D" w:rsidP="26C3F31D" w:rsidRDefault="26C3F31D" w14:paraId="63CE73D1" w14:textId="71C7ACE2">
      <w:pPr>
        <w:rPr>
          <w:rFonts w:asciiTheme="majorHAnsi" w:hAnsiTheme="majorHAnsi" w:eastAsiaTheme="majorEastAsia" w:cstheme="majorBidi"/>
          <w:sz w:val="24"/>
          <w:szCs w:val="24"/>
        </w:rPr>
      </w:pPr>
    </w:p>
    <w:p w:rsidR="00130DAF" w:rsidP="26C3F31D" w:rsidRDefault="26C3F31D" w14:paraId="1603BD34" w14:textId="6F405853">
      <w:pPr>
        <w:pStyle w:val="Heading1"/>
        <w:spacing w:before="0"/>
        <w:rPr>
          <w:rFonts w:asciiTheme="majorHAnsi" w:hAnsiTheme="majorHAnsi" w:eastAsiaTheme="majorEastAsia" w:cstheme="majorBidi"/>
          <w:color w:val="000000"/>
          <w:sz w:val="36"/>
          <w:szCs w:val="36"/>
        </w:rPr>
      </w:pPr>
      <w:bookmarkStart w:name="_Toc217995802" w:id="14"/>
      <w:r w:rsidRPr="26C3F31D">
        <w:rPr>
          <w:rFonts w:asciiTheme="majorHAnsi" w:hAnsiTheme="majorHAnsi" w:eastAsiaTheme="majorEastAsia" w:cstheme="majorBidi"/>
          <w:color w:val="000000" w:themeColor="text1"/>
          <w:sz w:val="36"/>
          <w:szCs w:val="36"/>
        </w:rPr>
        <w:t xml:space="preserve">Security Development Life-Cycle </w:t>
      </w:r>
      <w:bookmarkEnd w:id="14"/>
    </w:p>
    <w:p w:rsidR="00130DAF" w:rsidP="26C3F31D" w:rsidRDefault="00130DAF" w14:paraId="3479A036" w14:textId="6A9FCC0C"/>
    <w:p w:rsidR="00130DAF" w:rsidP="26C3F31D" w:rsidRDefault="00130DAF" w14:paraId="7B7DC792" w14:textId="5748ECBF"/>
    <w:p w:rsidR="00130DAF" w:rsidP="26C3F31D" w:rsidRDefault="26C3F31D" w14:paraId="41995DC0" w14:textId="1554D726">
      <w:pPr>
        <w:pStyle w:val="Heading1"/>
        <w:keepNext w:val="0"/>
        <w:keepLines w:val="0"/>
        <w:widowControl w:val="0"/>
        <w:spacing w:before="0"/>
        <w:ind w:left="1417" w:hanging="697"/>
        <w:rPr>
          <w:rFonts w:asciiTheme="majorHAnsi" w:hAnsiTheme="majorHAnsi" w:eastAsiaTheme="majorEastAsia" w:cstheme="majorBidi"/>
          <w:b w:val="0"/>
          <w:bCs w:val="0"/>
          <w:color w:val="000000"/>
          <w:sz w:val="24"/>
          <w:szCs w:val="24"/>
        </w:rPr>
      </w:pPr>
      <w:r w:rsidRPr="26C3F31D">
        <w:rPr>
          <w:rFonts w:asciiTheme="majorHAnsi" w:hAnsiTheme="majorHAnsi" w:eastAsiaTheme="majorEastAsia" w:cstheme="majorBidi"/>
          <w:b w:val="0"/>
          <w:bCs w:val="0"/>
          <w:color w:val="000000" w:themeColor="text1"/>
          <w:sz w:val="24"/>
          <w:szCs w:val="24"/>
        </w:rPr>
        <w:t xml:space="preserve"> </w:t>
      </w:r>
      <w:bookmarkStart w:name="_Toc217995803" w:id="15"/>
      <w:r w:rsidRPr="26C3F31D">
        <w:rPr>
          <w:rFonts w:asciiTheme="majorHAnsi" w:hAnsiTheme="majorHAnsi" w:eastAsiaTheme="majorEastAsia" w:cstheme="majorBidi"/>
          <w:b w:val="0"/>
          <w:bCs w:val="0"/>
          <w:color w:val="000000" w:themeColor="text1"/>
          <w:sz w:val="24"/>
          <w:szCs w:val="24"/>
        </w:rPr>
        <w:t>Roles and Responsibilities</w:t>
      </w:r>
      <w:bookmarkEnd w:id="15"/>
      <w:r w:rsidR="00FF399E">
        <w:br/>
      </w:r>
    </w:p>
    <w:p w:rsidR="00130DAF" w:rsidP="26C3F31D" w:rsidRDefault="26C3F31D" w14:paraId="33AE581B" w14:textId="6627D782">
      <w:pPr>
        <w:pStyle w:val="Heading1"/>
        <w:keepNext w:val="0"/>
        <w:keepLines w:val="0"/>
        <w:widowControl w:val="0"/>
        <w:spacing w:before="0"/>
        <w:ind w:left="720"/>
        <w:rPr>
          <w:rFonts w:asciiTheme="majorHAnsi" w:hAnsiTheme="majorHAnsi" w:eastAsiaTheme="majorEastAsia" w:cstheme="majorBidi"/>
          <w:b w:val="0"/>
          <w:bCs w:val="0"/>
          <w:color w:val="000000"/>
          <w:sz w:val="24"/>
          <w:szCs w:val="24"/>
        </w:rPr>
      </w:pPr>
      <w:bookmarkStart w:name="_Toc217995804" w:id="16"/>
      <w:r w:rsidRPr="26C3F31D">
        <w:rPr>
          <w:rFonts w:asciiTheme="majorHAnsi" w:hAnsiTheme="majorHAnsi" w:eastAsiaTheme="majorEastAsia" w:cstheme="majorBidi"/>
          <w:b w:val="0"/>
          <w:bCs w:val="0"/>
          <w:color w:val="000000" w:themeColor="text1"/>
          <w:sz w:val="24"/>
          <w:szCs w:val="24"/>
        </w:rPr>
        <w:t>To ensure adoption of secure development practices while minimizing disruption to continuous delivery, responsibilities for implementation and oversight are distributed among key leadership roles. While all personnel involved in the development lifecycle are expected to follow secure coding principles, the following roles hold defined responsibilities:</w:t>
      </w:r>
      <w:bookmarkEnd w:id="16"/>
      <w:r w:rsidR="00FF399E">
        <w:br/>
      </w:r>
    </w:p>
    <w:p w:rsidR="00130DAF" w:rsidP="26C3F31D" w:rsidRDefault="26C3F31D" w14:paraId="6422267C" w14:textId="6DFFF356">
      <w:pPr>
        <w:pStyle w:val="Heading1"/>
        <w:keepNext w:val="0"/>
        <w:keepLines w:val="0"/>
        <w:widowControl w:val="0"/>
        <w:numPr>
          <w:ilvl w:val="2"/>
          <w:numId w:val="17"/>
        </w:numPr>
        <w:spacing w:before="0"/>
        <w:ind w:left="1417" w:hanging="697"/>
        <w:rPr>
          <w:rFonts w:asciiTheme="majorHAnsi" w:hAnsiTheme="majorHAnsi" w:eastAsiaTheme="majorEastAsia" w:cstheme="majorBidi"/>
        </w:rPr>
      </w:pPr>
      <w:bookmarkStart w:name="_Toc217995805" w:id="17"/>
      <w:r w:rsidRPr="26C3F31D">
        <w:rPr>
          <w:rFonts w:asciiTheme="majorHAnsi" w:hAnsiTheme="majorHAnsi" w:eastAsiaTheme="majorEastAsia" w:cstheme="majorBidi"/>
          <w:b w:val="0"/>
          <w:bCs w:val="0"/>
          <w:color w:val="000000" w:themeColor="text1"/>
          <w:sz w:val="24"/>
          <w:szCs w:val="24"/>
        </w:rPr>
        <w:t>CTO - The CTO holds overall responsibility for ensuring that secure development is embedded across the organization. This includes establishing the strategic direction for secure software development, allocating the necessary resources, and overseeing collaboration between engineering and security teams to maintain compliance with security procedures.</w:t>
      </w:r>
      <w:bookmarkEnd w:id="17"/>
      <w:r w:rsidR="00FF399E">
        <w:br/>
      </w:r>
    </w:p>
    <w:p w:rsidR="00130DAF" w:rsidP="26C3F31D" w:rsidRDefault="26C3F31D" w14:paraId="091A534A" w14:textId="1454CC5F">
      <w:pPr>
        <w:pStyle w:val="Heading1"/>
        <w:keepNext w:val="0"/>
        <w:keepLines w:val="0"/>
        <w:widowControl w:val="0"/>
        <w:numPr>
          <w:ilvl w:val="2"/>
          <w:numId w:val="17"/>
        </w:numPr>
        <w:spacing w:before="0"/>
        <w:ind w:left="1417" w:hanging="697"/>
        <w:rPr>
          <w:rFonts w:asciiTheme="majorHAnsi" w:hAnsiTheme="majorHAnsi" w:eastAsiaTheme="majorEastAsia" w:cstheme="majorBidi"/>
          <w:b w:val="0"/>
          <w:bCs w:val="0"/>
          <w:color w:val="000000" w:themeColor="text1"/>
          <w:sz w:val="24"/>
          <w:szCs w:val="24"/>
        </w:rPr>
      </w:pPr>
      <w:bookmarkStart w:name="_Toc217995806" w:id="18"/>
      <w:r w:rsidRPr="26C3F31D">
        <w:rPr>
          <w:rFonts w:asciiTheme="majorHAnsi" w:hAnsiTheme="majorHAnsi" w:eastAsiaTheme="majorEastAsia" w:cstheme="majorBidi"/>
          <w:b w:val="0"/>
          <w:bCs w:val="0"/>
          <w:color w:val="000000" w:themeColor="text1"/>
          <w:sz w:val="24"/>
          <w:szCs w:val="24"/>
        </w:rPr>
        <w:t>VP R&amp;D - The VP of R&amp;D is responsible for embedding security throughout the development process. This includes ensuring that development teams apply secure coding practices, use approved tools, and remediate vulnerabilities efficiently. The VP of R&amp;D oversees execution of security-related procedures within the engineering teams and integrates security into design, implementation, and deployment activities.</w:t>
      </w:r>
      <w:bookmarkEnd w:id="18"/>
      <w:r w:rsidR="00FF399E">
        <w:br/>
      </w:r>
    </w:p>
    <w:p w:rsidR="00130DAF" w:rsidP="26C3F31D" w:rsidRDefault="26C3F31D" w14:paraId="15E502C4" w14:textId="6E02329A">
      <w:pPr>
        <w:pStyle w:val="Heading1"/>
        <w:keepNext w:val="0"/>
        <w:keepLines w:val="0"/>
        <w:widowControl w:val="0"/>
        <w:numPr>
          <w:ilvl w:val="2"/>
          <w:numId w:val="17"/>
        </w:numPr>
        <w:spacing w:before="0"/>
        <w:ind w:left="1417" w:hanging="697"/>
        <w:rPr>
          <w:rFonts w:asciiTheme="majorHAnsi" w:hAnsiTheme="majorHAnsi" w:eastAsiaTheme="majorEastAsia" w:cstheme="majorBidi"/>
          <w:b w:val="0"/>
          <w:bCs w:val="0"/>
          <w:color w:val="000000" w:themeColor="text1"/>
          <w:sz w:val="24"/>
          <w:szCs w:val="24"/>
          <w:u w:val="single"/>
        </w:rPr>
      </w:pPr>
      <w:bookmarkStart w:name="_Toc217995807" w:id="19"/>
      <w:r w:rsidRPr="26C3F31D">
        <w:rPr>
          <w:rFonts w:asciiTheme="majorHAnsi" w:hAnsiTheme="majorHAnsi" w:eastAsiaTheme="majorEastAsia" w:cstheme="majorBidi"/>
          <w:b w:val="0"/>
          <w:bCs w:val="0"/>
          <w:color w:val="000000" w:themeColor="text1"/>
          <w:sz w:val="24"/>
          <w:szCs w:val="24"/>
        </w:rPr>
        <w:t>CISO - The CISO is responsible for defining, maintaining, and overseeing the organization’s security strategy throughout the development lifecycle. This includes establishing security policies, ensuring compliance with regulatory and contractual obligations, and monitoring adherence to secure development practices. The CISO provides guidance to leadership and development teams, conducts regular risk assessments, and ensures that security considerations are integrated into every stage of design, implementation, and deployment.</w:t>
      </w:r>
      <w:bookmarkEnd w:id="19"/>
      <w:r w:rsidR="00FF399E">
        <w:br/>
      </w:r>
    </w:p>
    <w:p w:rsidR="00130DAF" w:rsidP="26C3F31D" w:rsidRDefault="26C3F31D" w14:paraId="39E04CE1" w14:textId="5C61AB32">
      <w:pPr>
        <w:pStyle w:val="Heading1"/>
        <w:keepNext w:val="0"/>
        <w:keepLines w:val="0"/>
        <w:widowControl w:val="0"/>
        <w:numPr>
          <w:ilvl w:val="2"/>
          <w:numId w:val="17"/>
        </w:numPr>
        <w:spacing w:before="0"/>
        <w:ind w:left="1417" w:hanging="697"/>
        <w:rPr>
          <w:rFonts w:ascii="Calibri" w:hAnsi="Calibri" w:cs="Calibri"/>
          <w:b w:val="0"/>
          <w:bCs w:val="0"/>
          <w:color w:val="000000" w:themeColor="text1"/>
          <w:sz w:val="22"/>
          <w:szCs w:val="22"/>
        </w:rPr>
      </w:pPr>
      <w:r>
        <w:rPr>
          <w:rFonts w:ascii="Calibri" w:hAnsi="Calibri" w:eastAsia="Calibri" w:cs="Calibri"/>
          <w:b w:val="0"/>
          <w:bCs w:val="0"/>
          <w:color w:val="000000" w:themeColor="text1"/>
          <w:sz w:val="24"/>
          <w:szCs w:val="24"/>
        </w:rPr>
        <w:t>DevOps Lead - The DevOps Lead is responsible for the technical implementation and maintenance of security tooling within the CI/CD pipeline. This includes managing automated scanning integrations, ensuring the integrity of the build environment, and providing technical support to developers for vulnerability remediation and infrastructure-as-code (IaC) security.</w:t>
      </w:r>
      <w:r w:rsidR="00FF399E">
        <w:br/>
      </w:r>
    </w:p>
    <w:p w:rsidR="00130DAF" w:rsidP="26C3F31D" w:rsidRDefault="26C3F31D" w14:paraId="4C6F92FA" w14:textId="4D4EF993">
      <w:pPr>
        <w:pStyle w:val="Heading1"/>
        <w:keepNext w:val="0"/>
        <w:keepLines w:val="0"/>
        <w:widowControl w:val="0"/>
        <w:numPr>
          <w:ilvl w:val="2"/>
          <w:numId w:val="17"/>
        </w:numPr>
        <w:spacing w:before="0"/>
        <w:ind w:left="1417" w:hanging="697"/>
        <w:rPr>
          <w:rFonts w:asciiTheme="majorHAnsi" w:hAnsiTheme="majorHAnsi" w:eastAsiaTheme="majorEastAsia" w:cstheme="majorBidi"/>
          <w:b w:val="0"/>
          <w:bCs w:val="0"/>
          <w:color w:val="000000" w:themeColor="text1"/>
          <w:sz w:val="24"/>
          <w:szCs w:val="24"/>
        </w:rPr>
      </w:pPr>
      <w:bookmarkStart w:name="_Toc217995808" w:id="20"/>
      <w:r w:rsidRPr="26C3F31D">
        <w:rPr>
          <w:rFonts w:asciiTheme="majorHAnsi" w:hAnsiTheme="majorHAnsi" w:eastAsiaTheme="majorEastAsia" w:cstheme="majorBidi"/>
          <w:b w:val="0"/>
          <w:bCs w:val="0"/>
          <w:color w:val="000000" w:themeColor="text1"/>
          <w:sz w:val="24"/>
          <w:szCs w:val="24"/>
        </w:rPr>
        <w:t>Developers -They are required to develop secure code. They are obligated to follow a given policy and guidelines, specifically relevant procedure(s) and secure coding guidelines, in addition to completing appropriate training. Moreover, it is beneficial for programmers to be conscious of security throughout their coding efforts. The organization shall supervise and monitor the out-sourced system development activity.</w:t>
      </w:r>
      <w:bookmarkEnd w:id="20"/>
    </w:p>
    <w:p w:rsidR="00130DAF" w:rsidRDefault="00130DAF" w14:paraId="2BCA736E" w14:textId="77777777">
      <w:pPr>
        <w:pBdr>
          <w:top w:val="none" w:color="000000" w:sz="4" w:space="0"/>
          <w:left w:val="none" w:color="000000" w:sz="4" w:space="0"/>
          <w:bottom w:val="none" w:color="000000" w:sz="4" w:space="0"/>
          <w:right w:val="none" w:color="000000" w:sz="4" w:space="0"/>
          <w:between w:val="none" w:color="000000" w:sz="4" w:space="0"/>
        </w:pBdr>
        <w:spacing w:before="0" w:after="0"/>
        <w:ind w:left="1843" w:hanging="720"/>
        <w:jc w:val="left"/>
        <w:rPr>
          <w:rFonts w:asciiTheme="majorHAnsi" w:hAnsiTheme="majorHAnsi" w:eastAsiaTheme="majorEastAsia" w:cstheme="majorBidi"/>
          <w:sz w:val="24"/>
          <w:szCs w:val="24"/>
        </w:rPr>
      </w:pPr>
    </w:p>
    <w:p w:rsidR="00130DAF" w:rsidRDefault="00130DAF" w14:paraId="3B595CA7" w14:textId="77777777">
      <w:pPr>
        <w:pBdr>
          <w:top w:val="none" w:color="000000" w:sz="4" w:space="0"/>
          <w:left w:val="none" w:color="000000" w:sz="4" w:space="0"/>
          <w:bottom w:val="none" w:color="000000" w:sz="4" w:space="0"/>
          <w:right w:val="none" w:color="000000" w:sz="4" w:space="0"/>
          <w:between w:val="none" w:color="000000" w:sz="4" w:space="0"/>
        </w:pBdr>
        <w:spacing w:before="0" w:after="0"/>
        <w:ind w:left="1843" w:hanging="720"/>
        <w:jc w:val="left"/>
        <w:rPr>
          <w:rFonts w:asciiTheme="majorHAnsi" w:hAnsiTheme="majorHAnsi" w:eastAsiaTheme="majorEastAsia" w:cstheme="majorBidi"/>
          <w:sz w:val="24"/>
          <w:szCs w:val="24"/>
        </w:rPr>
      </w:pPr>
    </w:p>
    <w:p w:rsidR="00130DAF" w:rsidRDefault="00130DAF" w14:paraId="46177092" w14:textId="77777777">
      <w:pPr>
        <w:pBdr>
          <w:top w:val="none" w:color="000000" w:sz="4" w:space="0"/>
          <w:left w:val="none" w:color="000000" w:sz="4" w:space="0"/>
          <w:bottom w:val="none" w:color="000000" w:sz="4" w:space="0"/>
          <w:right w:val="none" w:color="000000" w:sz="4" w:space="0"/>
          <w:between w:val="none" w:color="000000" w:sz="4" w:space="0"/>
        </w:pBdr>
        <w:spacing w:before="0" w:after="0"/>
        <w:ind w:left="1843" w:hanging="720"/>
        <w:jc w:val="left"/>
        <w:rPr>
          <w:rFonts w:asciiTheme="majorHAnsi" w:hAnsiTheme="majorHAnsi" w:eastAsiaTheme="majorEastAsia" w:cstheme="majorBidi"/>
          <w:sz w:val="24"/>
          <w:szCs w:val="24"/>
        </w:rPr>
      </w:pPr>
    </w:p>
    <w:p w:rsidR="00130DAF" w:rsidP="26C3F31D" w:rsidRDefault="26C3F31D" w14:paraId="10BAFB4F" w14:textId="77777777">
      <w:pPr>
        <w:pStyle w:val="Heading1"/>
        <w:numPr>
          <w:ilvl w:val="1"/>
          <w:numId w:val="17"/>
        </w:numPr>
        <w:spacing w:before="0"/>
        <w:rPr>
          <w:rFonts w:asciiTheme="majorHAnsi" w:hAnsiTheme="majorHAnsi" w:eastAsiaTheme="majorEastAsia" w:cstheme="majorBidi"/>
          <w:color w:val="000000"/>
          <w:sz w:val="24"/>
          <w:szCs w:val="24"/>
        </w:rPr>
      </w:pPr>
      <w:bookmarkStart w:name="_Toc217995809" w:id="21"/>
      <w:r w:rsidRPr="26C3F31D">
        <w:rPr>
          <w:rFonts w:asciiTheme="majorHAnsi" w:hAnsiTheme="majorHAnsi" w:eastAsiaTheme="majorEastAsia" w:cstheme="majorBidi"/>
          <w:color w:val="000000" w:themeColor="text1"/>
          <w:sz w:val="24"/>
          <w:szCs w:val="24"/>
        </w:rPr>
        <w:t>Continual Activities</w:t>
      </w:r>
      <w:bookmarkEnd w:id="21"/>
    </w:p>
    <w:p w:rsidR="00130DAF" w:rsidP="26C3F31D" w:rsidRDefault="26C3F31D" w14:paraId="7047CFF3" w14:textId="77777777">
      <w:pPr>
        <w:pStyle w:val="Heading1"/>
        <w:keepNext w:val="0"/>
        <w:keepLines w:val="0"/>
        <w:widowControl w:val="0"/>
        <w:numPr>
          <w:ilvl w:val="2"/>
          <w:numId w:val="17"/>
        </w:numPr>
        <w:spacing w:before="0"/>
        <w:ind w:left="1417" w:hanging="697"/>
        <w:rPr>
          <w:rFonts w:asciiTheme="majorHAnsi" w:hAnsiTheme="majorHAnsi" w:eastAsiaTheme="majorEastAsia" w:cstheme="majorBidi"/>
          <w:b w:val="0"/>
          <w:bCs w:val="0"/>
          <w:color w:val="000000"/>
          <w:sz w:val="24"/>
          <w:szCs w:val="24"/>
        </w:rPr>
      </w:pPr>
      <w:bookmarkStart w:name="_Toc217995810" w:id="22"/>
      <w:r w:rsidRPr="26C3F31D">
        <w:rPr>
          <w:rFonts w:asciiTheme="majorHAnsi" w:hAnsiTheme="majorHAnsi" w:eastAsiaTheme="majorEastAsia" w:cstheme="majorBidi"/>
          <w:b w:val="0"/>
          <w:bCs w:val="0"/>
          <w:color w:val="000000" w:themeColor="text1"/>
          <w:sz w:val="24"/>
          <w:szCs w:val="24"/>
        </w:rPr>
        <w:t>Changes to systems within the development lifecycle shall be led by the use of formal change procedures.</w:t>
      </w:r>
      <w:bookmarkEnd w:id="22"/>
    </w:p>
    <w:p w:rsidR="00130DAF" w:rsidP="26C3F31D" w:rsidRDefault="26C3F31D" w14:paraId="0E019DB5" w14:textId="77777777">
      <w:pPr>
        <w:pStyle w:val="Heading1"/>
        <w:keepNext w:val="0"/>
        <w:keepLines w:val="0"/>
        <w:widowControl w:val="0"/>
        <w:numPr>
          <w:ilvl w:val="2"/>
          <w:numId w:val="17"/>
        </w:numPr>
        <w:spacing w:before="0"/>
        <w:ind w:left="1417" w:hanging="697"/>
        <w:rPr>
          <w:rFonts w:asciiTheme="majorHAnsi" w:hAnsiTheme="majorHAnsi" w:eastAsiaTheme="majorEastAsia" w:cstheme="majorBidi"/>
          <w:b w:val="0"/>
          <w:bCs w:val="0"/>
          <w:color w:val="000000"/>
          <w:sz w:val="24"/>
          <w:szCs w:val="24"/>
        </w:rPr>
      </w:pPr>
      <w:bookmarkStart w:name="_Toc217995811" w:id="23"/>
      <w:r w:rsidRPr="26C3F31D">
        <w:rPr>
          <w:rFonts w:asciiTheme="majorHAnsi" w:hAnsiTheme="majorHAnsi" w:eastAsiaTheme="majorEastAsia" w:cstheme="majorBidi"/>
          <w:b w:val="0"/>
          <w:bCs w:val="0"/>
          <w:color w:val="000000" w:themeColor="text1"/>
          <w:sz w:val="24"/>
          <w:szCs w:val="24"/>
        </w:rPr>
        <w:t>These activities should be continuously and periodically performed, outside of the release cycle</w:t>
      </w:r>
      <w:bookmarkEnd w:id="23"/>
    </w:p>
    <w:p w:rsidR="00130DAF" w:rsidP="26C3F31D" w:rsidRDefault="26C3F31D" w14:paraId="51A84A28" w14:textId="44CE2ECB">
      <w:pPr>
        <w:pStyle w:val="Heading1"/>
        <w:keepNext w:val="0"/>
        <w:keepLines w:val="0"/>
        <w:widowControl w:val="0"/>
        <w:numPr>
          <w:ilvl w:val="2"/>
          <w:numId w:val="17"/>
        </w:numPr>
        <w:spacing w:before="0"/>
        <w:rPr>
          <w:rFonts w:asciiTheme="majorHAnsi" w:hAnsiTheme="majorHAnsi" w:eastAsiaTheme="majorEastAsia" w:cstheme="majorBidi"/>
          <w:b w:val="0"/>
          <w:bCs w:val="0"/>
          <w:color w:val="000000" w:themeColor="text1"/>
          <w:sz w:val="24"/>
          <w:szCs w:val="24"/>
        </w:rPr>
      </w:pPr>
      <w:r w:rsidRPr="26C3F31D">
        <w:rPr>
          <w:rFonts w:asciiTheme="majorHAnsi" w:hAnsiTheme="majorHAnsi" w:eastAsiaTheme="majorEastAsia" w:cstheme="majorBidi"/>
          <w:b w:val="0"/>
          <w:bCs w:val="0"/>
          <w:color w:val="000000" w:themeColor="text1"/>
          <w:sz w:val="24"/>
          <w:szCs w:val="24"/>
        </w:rPr>
        <w:t>Security Approval for Significant Changes - Security considerations must be integrated into the design phase of new features. For Significant Changes (defined as changes to authentication, data encryption, or public-facing APIs), a security review must be performed. The Pull Request (PR) and associated task in the project management system serve as the formal record of this review and approval.</w:t>
      </w:r>
    </w:p>
    <w:p w:rsidR="00130DAF" w:rsidRDefault="00130DAF" w14:paraId="6B589520" w14:textId="7283F33B">
      <w:pPr>
        <w:pBdr>
          <w:top w:val="none" w:color="000000" w:sz="4" w:space="0"/>
          <w:left w:val="none" w:color="000000" w:sz="4" w:space="0"/>
          <w:bottom w:val="none" w:color="000000" w:sz="4" w:space="0"/>
          <w:right w:val="none" w:color="000000" w:sz="4" w:space="0"/>
          <w:between w:val="none" w:color="000000" w:sz="4" w:space="0"/>
        </w:pBdr>
        <w:spacing w:before="0" w:after="0"/>
        <w:rPr>
          <w:rFonts w:asciiTheme="majorHAnsi" w:hAnsiTheme="majorHAnsi" w:eastAsiaTheme="majorEastAsia" w:cstheme="majorBidi"/>
        </w:rPr>
      </w:pPr>
    </w:p>
    <w:p w:rsidR="00130DAF" w:rsidRDefault="00130DAF" w14:paraId="6D61DDA0" w14:textId="77777777">
      <w:pPr>
        <w:pBdr>
          <w:top w:val="none" w:color="000000" w:sz="4" w:space="0"/>
          <w:left w:val="none" w:color="000000" w:sz="4" w:space="0"/>
          <w:bottom w:val="none" w:color="000000" w:sz="4" w:space="0"/>
          <w:right w:val="none" w:color="000000" w:sz="4" w:space="0"/>
          <w:between w:val="none" w:color="000000" w:sz="4" w:space="0"/>
        </w:pBdr>
        <w:spacing w:before="0" w:after="0"/>
        <w:ind w:left="1843"/>
        <w:rPr>
          <w:rFonts w:asciiTheme="majorHAnsi" w:hAnsiTheme="majorHAnsi" w:eastAsiaTheme="majorEastAsia" w:cstheme="majorBidi"/>
          <w:sz w:val="24"/>
          <w:szCs w:val="24"/>
        </w:rPr>
      </w:pPr>
    </w:p>
    <w:p w:rsidR="00130DAF" w:rsidP="26C3F31D" w:rsidRDefault="26C3F31D" w14:paraId="2541BCC9" w14:textId="4741C39B">
      <w:pPr>
        <w:pStyle w:val="Heading1"/>
        <w:numPr>
          <w:ilvl w:val="1"/>
          <w:numId w:val="17"/>
        </w:numPr>
        <w:spacing w:before="0"/>
        <w:rPr>
          <w:rFonts w:asciiTheme="majorHAnsi" w:hAnsiTheme="majorHAnsi" w:eastAsiaTheme="majorEastAsia" w:cstheme="majorBidi"/>
          <w:color w:val="000000"/>
          <w:sz w:val="24"/>
          <w:szCs w:val="24"/>
        </w:rPr>
      </w:pPr>
      <w:bookmarkStart w:name="_Toc217995815" w:id="24"/>
      <w:r w:rsidRPr="26C3F31D">
        <w:rPr>
          <w:rFonts w:asciiTheme="majorHAnsi" w:hAnsiTheme="majorHAnsi" w:eastAsiaTheme="majorEastAsia" w:cstheme="majorBidi"/>
          <w:color w:val="000000" w:themeColor="text1"/>
          <w:sz w:val="24"/>
          <w:szCs w:val="24"/>
        </w:rPr>
        <w:t>Coding Phase</w:t>
      </w:r>
      <w:bookmarkEnd w:id="24"/>
    </w:p>
    <w:p w:rsidR="00130DAF" w:rsidRDefault="00130DAF" w14:paraId="34487594" w14:textId="77777777"/>
    <w:p w:rsidR="00130DAF" w:rsidP="26C3F31D" w:rsidRDefault="26C3F31D" w14:paraId="31B5C0A9" w14:textId="463A7A7C">
      <w:pPr>
        <w:pStyle w:val="Heading1"/>
        <w:keepNext w:val="0"/>
        <w:keepLines w:val="0"/>
        <w:widowControl w:val="0"/>
        <w:numPr>
          <w:ilvl w:val="2"/>
          <w:numId w:val="17"/>
        </w:numPr>
        <w:spacing w:before="0" w:after="240"/>
        <w:ind w:left="1417" w:hanging="697"/>
        <w:rPr>
          <w:rFonts w:asciiTheme="majorHAnsi" w:hAnsiTheme="majorHAnsi" w:eastAsiaTheme="majorEastAsia" w:cstheme="majorBidi"/>
          <w:b w:val="0"/>
          <w:bCs w:val="0"/>
          <w:color w:val="000000" w:themeColor="text1"/>
          <w:sz w:val="24"/>
          <w:szCs w:val="24"/>
        </w:rPr>
      </w:pPr>
      <w:bookmarkStart w:name="_Toc217995816" w:id="25"/>
      <w:r w:rsidRPr="26C3F31D">
        <w:rPr>
          <w:rFonts w:asciiTheme="majorHAnsi" w:hAnsiTheme="majorHAnsi" w:eastAsiaTheme="majorEastAsia" w:cstheme="majorBidi"/>
          <w:b w:val="0"/>
          <w:bCs w:val="0"/>
          <w:color w:val="000000" w:themeColor="text1"/>
          <w:sz w:val="24"/>
          <w:szCs w:val="24"/>
        </w:rPr>
        <w:t>When developing any all and system code, programmers must follow secure coding guidelines relevant to the specific technology and programming language, and accepted best practices.</w:t>
      </w:r>
      <w:bookmarkEnd w:id="25"/>
      <w:r w:rsidRPr="26C3F31D">
        <w:rPr>
          <w:rFonts w:asciiTheme="majorHAnsi" w:hAnsiTheme="majorHAnsi" w:eastAsiaTheme="majorEastAsia" w:cstheme="majorBidi"/>
          <w:b w:val="0"/>
          <w:bCs w:val="0"/>
          <w:color w:val="000000" w:themeColor="text1"/>
          <w:sz w:val="24"/>
          <w:szCs w:val="24"/>
        </w:rPr>
        <w:t xml:space="preserve"> </w:t>
      </w:r>
    </w:p>
    <w:p w:rsidR="00130DAF" w:rsidRDefault="00FF399E" w14:paraId="3578F782" w14:textId="3CDB5C56">
      <w:pPr>
        <w:widowControl w:val="0"/>
        <w:numPr>
          <w:ilvl w:val="2"/>
          <w:numId w:val="17"/>
        </w:numPr>
        <w:spacing w:before="0" w:after="240"/>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Passwords, tokens, encryption keys, API keys, and any other secrets must never </w:t>
      </w:r>
      <w:r>
        <w:tab/>
      </w:r>
      <w:r>
        <w:rPr>
          <w:rFonts w:asciiTheme="majorHAnsi" w:hAnsiTheme="majorHAnsi" w:eastAsiaTheme="majorEastAsia" w:cstheme="majorBidi"/>
          <w:color w:val="000000" w:themeColor="text1"/>
          <w:sz w:val="24"/>
          <w:szCs w:val="24"/>
        </w:rPr>
        <w:t>be stored in source code, configuration files, or version control systems.</w:t>
      </w:r>
      <w:r>
        <w:br/>
      </w:r>
      <w:r>
        <w:rPr>
          <w:rFonts w:asciiTheme="majorHAnsi" w:hAnsiTheme="majorHAnsi" w:eastAsiaTheme="majorEastAsia" w:cstheme="majorBidi"/>
          <w:color w:val="000000" w:themeColor="text1"/>
          <w:sz w:val="24"/>
          <w:szCs w:val="24"/>
        </w:rPr>
        <w:t>All secrets must be managed exclusively through an approved secrets management solution authorized by the company .</w:t>
      </w:r>
    </w:p>
    <w:p w:rsidR="00130DAF" w:rsidRDefault="00FF399E" w14:paraId="766624FF" w14:textId="70A711B8">
      <w:pPr>
        <w:widowControl w:val="0"/>
        <w:numPr>
          <w:ilvl w:val="2"/>
          <w:numId w:val="17"/>
        </w:numPr>
        <w:spacing w:before="0" w:after="240"/>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All identified vulnerabilities must be remediated according to the following rules, based on severity and project priority.</w:t>
      </w:r>
    </w:p>
    <w:p w:rsidR="00130DAF" w:rsidRDefault="00130DAF" w14:paraId="587974F6" w14:textId="08D79A73">
      <w:pPr>
        <w:widowControl w:val="0"/>
        <w:rPr>
          <w:rFonts w:asciiTheme="majorHAnsi" w:hAnsiTheme="majorHAnsi" w:eastAsiaTheme="majorEastAsia" w:cstheme="majorBidi"/>
          <w:sz w:val="24"/>
          <w:szCs w:val="24"/>
        </w:rPr>
      </w:pPr>
    </w:p>
    <w:p w:rsidR="00130DAF" w:rsidP="26C3F31D" w:rsidRDefault="26C3F31D" w14:paraId="6AF9F93A" w14:textId="1B148FC7">
      <w:pPr>
        <w:pStyle w:val="Heading1"/>
        <w:widowControl w:val="0"/>
        <w:spacing w:before="0" w:after="240"/>
        <w:rPr>
          <w:rFonts w:asciiTheme="majorHAnsi" w:hAnsiTheme="majorHAnsi" w:eastAsiaTheme="majorEastAsia" w:cstheme="majorBidi"/>
          <w:color w:val="000000"/>
          <w:sz w:val="24"/>
          <w:szCs w:val="24"/>
        </w:rPr>
      </w:pPr>
      <w:bookmarkStart w:name="_Toc217995817" w:id="26"/>
      <w:r w:rsidRPr="26C3F31D">
        <w:rPr>
          <w:rFonts w:asciiTheme="majorHAnsi" w:hAnsiTheme="majorHAnsi" w:eastAsiaTheme="majorEastAsia" w:cstheme="majorBidi"/>
          <w:color w:val="000000" w:themeColor="text1"/>
          <w:sz w:val="24"/>
          <w:szCs w:val="24"/>
        </w:rPr>
        <w:t>Remediation Policy:</w:t>
      </w:r>
      <w:bookmarkEnd w:id="26"/>
    </w:p>
    <w:p w:rsidR="00130DAF" w:rsidP="26C3F31D" w:rsidRDefault="26C3F31D" w14:paraId="1AC22E91" w14:textId="77777777">
      <w:pPr>
        <w:pStyle w:val="Heading1"/>
        <w:keepNext w:val="0"/>
        <w:keepLines w:val="0"/>
        <w:widowControl w:val="0"/>
        <w:spacing w:before="0" w:after="240"/>
        <w:jc w:val="left"/>
      </w:pPr>
      <w:r w:rsidRPr="26C3F31D">
        <w:rPr>
          <w:rFonts w:asciiTheme="majorHAnsi" w:hAnsiTheme="majorHAnsi" w:eastAsiaTheme="majorEastAsia" w:cstheme="majorBidi"/>
          <w:b w:val="0"/>
          <w:bCs w:val="0"/>
          <w:color w:val="000000"/>
          <w:sz w:val="24"/>
          <w:szCs w:val="24"/>
        </w:rPr>
        <w:t>All identified vulnerabilities must be remediated according to the following Service Level Agreements (SLAs):</w:t>
      </w:r>
    </w:p>
    <w:p w:rsidR="00130DAF" w:rsidP="26C3F31D" w:rsidRDefault="26C3F31D" w14:paraId="4D4DF965" w14:textId="77777777">
      <w:pPr>
        <w:pStyle w:val="Heading1"/>
        <w:keepNext w:val="0"/>
        <w:keepLines w:val="0"/>
        <w:widowControl w:val="0"/>
        <w:spacing w:before="0" w:after="240"/>
        <w:jc w:val="left"/>
      </w:pPr>
      <w:r w:rsidRPr="26C3F31D">
        <w:rPr>
          <w:rFonts w:asciiTheme="majorHAnsi" w:hAnsiTheme="majorHAnsi" w:eastAsiaTheme="majorEastAsia" w:cstheme="majorBidi"/>
          <w:b w:val="0"/>
          <w:bCs w:val="0"/>
          <w:color w:val="000000"/>
          <w:sz w:val="24"/>
          <w:szCs w:val="24"/>
        </w:rPr>
        <w:t xml:space="preserve">    Critical: Fixed within 72 hours.</w:t>
      </w:r>
      <w:r w:rsidRPr="26C3F31D">
        <w:rPr>
          <w:rFonts w:asciiTheme="majorHAnsi" w:hAnsiTheme="majorHAnsi" w:eastAsiaTheme="majorEastAsia" w:cstheme="majorBidi"/>
          <w:color w:val="000000"/>
          <w:sz w:val="24"/>
          <w:szCs w:val="24"/>
        </w:rPr>
      </w:r>
      <w:r w:rsidRPr="26C3F31D">
        <w:rPr>
          <w:rFonts w:asciiTheme="majorHAnsi" w:hAnsiTheme="majorHAnsi" w:eastAsiaTheme="majorEastAsia" w:cstheme="majorBidi"/>
          <w:b w:val="0"/>
          <w:bCs w:val="0"/>
          <w:color w:val="000000"/>
          <w:sz w:val="24"/>
          <w:szCs w:val="24"/>
        </w:rPr>
      </w:r>
    </w:p>
    <w:p w:rsidR="00130DAF" w:rsidP="26C3F31D" w:rsidRDefault="26C3F31D" w14:paraId="53448D09" w14:textId="77777777">
      <w:pPr>
        <w:pStyle w:val="Heading1"/>
        <w:keepNext w:val="0"/>
        <w:keepLines w:val="0"/>
        <w:widowControl w:val="0"/>
        <w:spacing w:before="0" w:after="240"/>
        <w:jc w:val="left"/>
      </w:pPr>
      <w:r w:rsidRPr="26C3F31D">
        <w:rPr>
          <w:rFonts w:asciiTheme="majorHAnsi" w:hAnsiTheme="majorHAnsi" w:eastAsiaTheme="majorEastAsia" w:cstheme="majorBidi"/>
          <w:b w:val="0"/>
          <w:bCs w:val="0"/>
          <w:color w:val="000000"/>
          <w:sz w:val="24"/>
          <w:szCs w:val="24"/>
        </w:rPr>
        <w:t xml:space="preserve">    </w:t>
      </w:r>
      <w:r w:rsidRPr="26C3F31D">
        <w:rPr>
          <w:rFonts w:asciiTheme="majorHAnsi" w:hAnsiTheme="majorHAnsi" w:eastAsiaTheme="majorEastAsia" w:cstheme="majorBidi"/>
          <w:color w:val="000000"/>
          <w:sz w:val="24"/>
          <w:szCs w:val="24"/>
        </w:rPr>
        <w:t>High</w:t>
      </w:r>
      <w:r w:rsidRPr="26C3F31D">
        <w:rPr>
          <w:rFonts w:asciiTheme="majorHAnsi" w:hAnsiTheme="majorHAnsi" w:eastAsiaTheme="majorEastAsia" w:cstheme="majorBidi"/>
          <w:b w:val="0"/>
          <w:bCs w:val="0"/>
          <w:color w:val="000000"/>
          <w:sz w:val="24"/>
          <w:szCs w:val="24"/>
        </w:rPr>
        <w:t>: Fixed within 14 days.</w:t>
      </w:r>
    </w:p>
    <w:p w:rsidR="00130DAF" w:rsidP="26C3F31D" w:rsidRDefault="26C3F31D" w14:paraId="415FD798" w14:textId="77777777">
      <w:pPr>
        <w:pStyle w:val="Heading1"/>
        <w:keepNext w:val="0"/>
        <w:keepLines w:val="0"/>
        <w:widowControl w:val="0"/>
        <w:spacing w:before="0" w:after="240"/>
        <w:jc w:val="left"/>
      </w:pPr>
      <w:r w:rsidRPr="26C3F31D">
        <w:rPr>
          <w:rFonts w:asciiTheme="majorHAnsi" w:hAnsiTheme="majorHAnsi" w:eastAsiaTheme="majorEastAsia" w:cstheme="majorBidi"/>
          <w:b w:val="0"/>
          <w:bCs w:val="0"/>
          <w:color w:val="000000"/>
          <w:sz w:val="24"/>
          <w:szCs w:val="24"/>
        </w:rPr>
        <w:t xml:space="preserve">    Medium: Fixed within 30 days. Low: Fixed within 90 days.</w:t>
      </w:r>
      <w:r w:rsidRPr="26C3F31D">
        <w:rPr>
          <w:rFonts w:asciiTheme="majorHAnsi" w:hAnsiTheme="majorHAnsi" w:eastAsiaTheme="majorEastAsia" w:cstheme="majorBidi"/>
          <w:color w:val="000000"/>
          <w:sz w:val="24"/>
          <w:szCs w:val="24"/>
        </w:rPr>
      </w:r>
      <w:r w:rsidRPr="26C3F31D">
        <w:rPr>
          <w:rFonts w:asciiTheme="majorHAnsi" w:hAnsiTheme="majorHAnsi" w:eastAsiaTheme="majorEastAsia" w:cstheme="majorBidi"/>
          <w:b w:val="0"/>
          <w:bCs w:val="0"/>
          <w:color w:val="000000"/>
          <w:sz w:val="24"/>
          <w:szCs w:val="24"/>
        </w:rPr>
      </w:r>
    </w:p>
    <w:p w:rsidR="00130DAF" w:rsidP="26C3F31D" w:rsidRDefault="26C3F31D" w14:paraId="08CDE08B" w14:textId="40D3C347">
      <w:pPr>
        <w:pStyle w:val="Heading1"/>
        <w:keepNext w:val="0"/>
        <w:keepLines w:val="0"/>
        <w:widowControl w:val="0"/>
        <w:spacing w:before="0" w:after="240"/>
        <w:jc w:val="left"/>
        <w:rPr>
          <w:rFonts w:asciiTheme="majorHAnsi" w:hAnsiTheme="majorHAnsi" w:eastAsiaTheme="majorEastAsia" w:cstheme="majorBidi"/>
          <w:b w:val="0"/>
          <w:bCs w:val="0"/>
          <w:color w:val="000000"/>
          <w:sz w:val="24"/>
          <w:szCs w:val="24"/>
        </w:rPr>
      </w:pPr>
      <w:r w:rsidRPr="26C3F31D">
        <w:rPr>
          <w:rFonts w:asciiTheme="majorHAnsi" w:hAnsiTheme="majorHAnsi" w:eastAsiaTheme="majorEastAsia" w:cstheme="majorBidi"/>
          <w:b w:val="0"/>
          <w:bCs w:val="0"/>
          <w:color w:val="000000"/>
          <w:sz w:val="24"/>
          <w:szCs w:val="24"/>
        </w:rPr>
        <w:t>Exceptions: Any vulnerability not fixed within the SLA must be formally documented as a risk acceptance and approved by the CISO/VP R&amp;D.</w:t>
      </w:r>
    </w:p>
    <w:p w:rsidR="00130DAF" w:rsidRDefault="00130DAF" w14:paraId="5D2BFB27" w14:textId="77777777">
      <w:pPr>
        <w:rPr>
          <w:rFonts w:asciiTheme="majorHAnsi" w:hAnsiTheme="majorHAnsi" w:eastAsiaTheme="majorEastAsia" w:cstheme="majorBidi"/>
          <w:sz w:val="24"/>
          <w:szCs w:val="24"/>
        </w:rPr>
      </w:pPr>
    </w:p>
    <w:p w:rsidR="00130DAF" w:rsidRDefault="00130DAF" w14:paraId="5CA312E3" w14:textId="1CF4A3F2">
      <w:pPr>
        <w:rPr>
          <w:rFonts w:asciiTheme="majorHAnsi" w:hAnsiTheme="majorHAnsi" w:eastAsiaTheme="majorEastAsia" w:cstheme="majorBidi"/>
        </w:rPr>
      </w:pPr>
    </w:p>
    <w:p w:rsidR="00130DAF" w:rsidP="26C3F31D" w:rsidRDefault="26C3F31D" w14:paraId="4FFC1E51" w14:textId="77777777">
      <w:pPr>
        <w:pStyle w:val="Heading1"/>
        <w:spacing w:before="0"/>
        <w:rPr>
          <w:rFonts w:asciiTheme="majorHAnsi" w:hAnsiTheme="majorHAnsi" w:eastAsiaTheme="majorEastAsia" w:cstheme="majorBidi"/>
          <w:color w:val="000000"/>
          <w:sz w:val="24"/>
          <w:szCs w:val="24"/>
        </w:rPr>
      </w:pPr>
      <w:bookmarkStart w:name="_Toc217995827" w:id="27"/>
      <w:r w:rsidRPr="26C3F31D">
        <w:rPr>
          <w:rFonts w:asciiTheme="majorHAnsi" w:hAnsiTheme="majorHAnsi" w:eastAsiaTheme="majorEastAsia" w:cstheme="majorBidi"/>
          <w:color w:val="000000" w:themeColor="text1"/>
          <w:sz w:val="24"/>
          <w:szCs w:val="24"/>
        </w:rPr>
        <w:t>Testing Phase</w:t>
      </w:r>
      <w:bookmarkEnd w:id="27"/>
    </w:p>
    <w:p w:rsidR="00130DAF" w:rsidP="26C3F31D" w:rsidRDefault="26C3F31D" w14:paraId="63CD60E0" w14:textId="77777777">
      <w:pPr>
        <w:pStyle w:val="Heading1"/>
        <w:spacing w:before="0"/>
        <w:ind w:left="709"/>
        <w:rPr>
          <w:b w:val="0"/>
          <w:bCs w:val="0"/>
        </w:rPr>
      </w:pPr>
      <w:r w:rsidRPr="26C3F31D">
        <w:rPr>
          <w:rFonts w:asciiTheme="majorHAnsi" w:hAnsiTheme="majorHAnsi" w:eastAsiaTheme="majorEastAsia" w:cstheme="majorBidi"/>
          <w:color w:val="000000"/>
          <w:sz w:val="24"/>
          <w:szCs w:val="24"/>
        </w:rPr>
        <w:t>Logical Isolation:</w:t>
      </w:r>
      <w:r w:rsidRPr="26C3F31D">
        <w:rPr>
          <w:rFonts w:asciiTheme="majorHAnsi" w:hAnsiTheme="majorHAnsi" w:eastAsiaTheme="majorEastAsia" w:cstheme="majorBidi"/>
          <w:b w:val="0"/>
          <w:bCs w:val="0"/>
          <w:color w:val="000000"/>
          <w:sz w:val="24"/>
          <w:szCs w:val="24"/>
        </w:rPr>
        <w:t xml:space="preserve"> Development, Test (Staging), and Production environments must be logically separated within the cloud infrastructure (e.g., using separate AWS Accounts or VPCs).</w:t>
      </w:r>
    </w:p>
    <w:p w:rsidR="00130DAF" w:rsidRDefault="00130DAF" w14:paraId="4ED02CE9" w14:textId="77777777">
      <w:pPr>
        <w:pStyle w:val="Heading1"/>
        <w:spacing w:before="0"/>
        <w:ind w:left="709"/>
        <w:rPr>
          <w:b w:val="0"/>
          <w:bCs w:val="0"/>
        </w:rPr>
      </w:pPr>
    </w:p>
    <w:p w:rsidR="00130DAF" w:rsidP="26C3F31D" w:rsidRDefault="26C3F31D" w14:paraId="427C8CDE" w14:textId="77777777">
      <w:pPr>
        <w:pStyle w:val="Heading1"/>
        <w:spacing w:before="0"/>
        <w:ind w:left="709"/>
        <w:rPr>
          <w:b w:val="0"/>
          <w:bCs w:val="0"/>
        </w:rPr>
      </w:pPr>
      <w:r w:rsidRPr="26C3F31D">
        <w:rPr>
          <w:rFonts w:asciiTheme="majorHAnsi" w:hAnsiTheme="majorHAnsi" w:eastAsiaTheme="majorEastAsia" w:cstheme="majorBidi"/>
          <w:color w:val="000000"/>
          <w:sz w:val="24"/>
          <w:szCs w:val="24"/>
        </w:rPr>
        <w:t>Access Control:</w:t>
      </w:r>
      <w:r w:rsidRPr="26C3F31D">
        <w:rPr>
          <w:rFonts w:asciiTheme="majorHAnsi" w:hAnsiTheme="majorHAnsi" w:eastAsiaTheme="majorEastAsia" w:cstheme="majorBidi"/>
          <w:b w:val="0"/>
          <w:bCs w:val="0"/>
          <w:color w:val="000000"/>
          <w:sz w:val="24"/>
          <w:szCs w:val="24"/>
        </w:rPr>
        <w:t xml:space="preserve"> A strict "Segregation of Duties" is enforced. Developers are granted access to Development and Test environments but are restricted from administrative or write-access to the Production environment. Production deployments are managed via automated CI/CD pipelines.</w:t>
      </w:r>
    </w:p>
    <w:p w:rsidR="00130DAF" w:rsidRDefault="00130DAF" w14:paraId="356A4673" w14:textId="77777777">
      <w:pPr>
        <w:pStyle w:val="Heading1"/>
        <w:spacing w:before="0"/>
        <w:ind w:left="709"/>
        <w:rPr>
          <w:b w:val="0"/>
          <w:bCs w:val="0"/>
        </w:rPr>
      </w:pPr>
    </w:p>
    <w:p w:rsidR="00130DAF" w:rsidP="26C3F31D" w:rsidRDefault="26C3F31D" w14:paraId="7EEDCF83" w14:textId="77777777">
      <w:pPr>
        <w:pStyle w:val="Heading1"/>
        <w:spacing w:before="0"/>
        <w:ind w:left="709"/>
        <w:rPr>
          <w:rFonts w:asciiTheme="majorHAnsi" w:hAnsiTheme="majorHAnsi" w:eastAsiaTheme="majorEastAsia" w:cstheme="majorBidi"/>
          <w:b w:val="0"/>
          <w:bCs w:val="0"/>
          <w:color w:val="000000"/>
          <w:sz w:val="24"/>
          <w:szCs w:val="24"/>
        </w:rPr>
      </w:pPr>
      <w:r w:rsidRPr="26C3F31D">
        <w:rPr>
          <w:rFonts w:asciiTheme="majorHAnsi" w:hAnsiTheme="majorHAnsi" w:eastAsiaTheme="majorEastAsia" w:cstheme="majorBidi"/>
          <w:color w:val="000000"/>
          <w:sz w:val="24"/>
          <w:szCs w:val="24"/>
        </w:rPr>
        <w:t>Data Sanitization:</w:t>
      </w:r>
      <w:r w:rsidRPr="26C3F31D">
        <w:rPr>
          <w:rFonts w:asciiTheme="majorHAnsi" w:hAnsiTheme="majorHAnsi" w:eastAsiaTheme="majorEastAsia" w:cstheme="majorBidi"/>
          <w:b w:val="0"/>
          <w:bCs w:val="0"/>
          <w:color w:val="000000"/>
          <w:sz w:val="24"/>
          <w:szCs w:val="24"/>
        </w:rPr>
        <w:t xml:space="preserve"> Production data containing sensitive information or customer analytics must never be used in Development or Test environments. If data is required for testing, it must be programmatically anonymized or consist of synthetic "dummy" data.</w:t>
      </w:r>
    </w:p>
    <w:p w:rsidR="00130DAF" w:rsidRDefault="00130DAF" w14:paraId="043ECF40" w14:textId="77777777">
      <w:pPr>
        <w:rPr>
          <w:rFonts w:asciiTheme="majorHAnsi" w:hAnsiTheme="majorHAnsi" w:eastAsiaTheme="majorEastAsia" w:cstheme="majorBidi"/>
        </w:rPr>
      </w:pPr>
    </w:p>
    <w:p w:rsidR="00130DAF" w:rsidP="26C3F31D" w:rsidRDefault="26C3F31D" w14:paraId="78A18B0F" w14:textId="77777777">
      <w:pPr>
        <w:pStyle w:val="Heading1"/>
        <w:spacing w:before="0"/>
        <w:rPr>
          <w:rFonts w:asciiTheme="majorHAnsi" w:hAnsiTheme="majorHAnsi" w:eastAsiaTheme="majorEastAsia" w:cstheme="majorBidi"/>
          <w:color w:val="000000"/>
          <w:sz w:val="24"/>
          <w:szCs w:val="24"/>
        </w:rPr>
      </w:pPr>
      <w:bookmarkStart w:name="_Toc217995830" w:id="28"/>
      <w:r w:rsidRPr="26C3F31D">
        <w:rPr>
          <w:rFonts w:asciiTheme="majorHAnsi" w:hAnsiTheme="majorHAnsi" w:eastAsiaTheme="majorEastAsia" w:cstheme="majorBidi"/>
          <w:color w:val="000000" w:themeColor="text1"/>
          <w:sz w:val="24"/>
          <w:szCs w:val="24"/>
        </w:rPr>
        <w:t>Deployment Phase</w:t>
      </w:r>
      <w:bookmarkEnd w:id="28"/>
    </w:p>
    <w:p w:rsidR="00130DAF" w:rsidP="26C3F31D" w:rsidRDefault="00130DAF" w14:paraId="6860C338" w14:textId="1CCA2E00">
      <w:pPr>
        <w:widowControl w:val="0"/>
      </w:pPr>
    </w:p>
    <w:p w:rsidR="135E3C54" w:rsidP="26C3F31D" w:rsidRDefault="135E3C54" w14:paraId="0605C2BB" w14:textId="54B8866F">
      <w:pPr>
        <w:widowControl w:val="0"/>
        <w:ind w:left="720"/>
        <w:rPr>
          <w:rFonts w:asciiTheme="majorHAnsi" w:hAnsiTheme="majorHAnsi" w:eastAsiaTheme="majorEastAsia" w:cstheme="majorBidi"/>
          <w:sz w:val="24"/>
          <w:szCs w:val="24"/>
        </w:rPr>
      </w:pPr>
      <w:r w:rsidRPr="26C3F31D">
        <w:rPr>
          <w:rFonts w:asciiTheme="majorHAnsi" w:hAnsiTheme="majorHAnsi" w:eastAsiaTheme="majorEastAsia" w:cstheme="majorBidi"/>
          <w:sz w:val="24"/>
          <w:szCs w:val="24"/>
        </w:rPr>
        <w:t>Prior to any deployment to the Production environment, the following "Clean-Up" steps must be verified:</w:t>
      </w:r>
    </w:p>
    <w:p w:rsidR="135E3C54" w:rsidP="26C3F31D" w:rsidRDefault="135E3C54" w14:paraId="0B1BBEE7" w14:textId="3D9723A1">
      <w:pPr>
        <w:widowControl w:val="0"/>
        <w:ind w:left="720"/>
        <w:rPr>
          <w:rFonts w:asciiTheme="majorHAnsi" w:hAnsiTheme="majorHAnsi" w:eastAsiaTheme="majorEastAsia" w:cstheme="majorBidi"/>
          <w:sz w:val="24"/>
          <w:szCs w:val="24"/>
        </w:rPr>
      </w:pPr>
      <w:r w:rsidRPr="26C3F31D">
        <w:rPr>
          <w:rFonts w:asciiTheme="majorHAnsi" w:hAnsiTheme="majorHAnsi" w:eastAsiaTheme="majorEastAsia" w:cstheme="majorBidi"/>
          <w:sz w:val="24"/>
          <w:szCs w:val="24"/>
        </w:rPr>
        <w:t xml:space="preserve">  </w:t>
      </w:r>
    </w:p>
    <w:p w:rsidR="135E3C54" w:rsidP="26C3F31D" w:rsidRDefault="135E3C54" w14:paraId="7F86943D" w14:textId="44AE6B52">
      <w:pPr>
        <w:widowControl w:val="0"/>
        <w:ind w:left="720"/>
        <w:rPr>
          <w:rFonts w:asciiTheme="majorHAnsi" w:hAnsiTheme="majorHAnsi" w:eastAsiaTheme="majorEastAsia" w:cstheme="majorBidi"/>
          <w:sz w:val="24"/>
          <w:szCs w:val="24"/>
        </w:rPr>
      </w:pPr>
      <w:r w:rsidRPr="26C3F31D">
        <w:rPr>
          <w:rFonts w:asciiTheme="majorHAnsi" w:hAnsiTheme="majorHAnsi" w:eastAsiaTheme="majorEastAsia" w:cstheme="majorBidi"/>
          <w:b/>
          <w:bCs/>
          <w:sz w:val="24"/>
          <w:szCs w:val="24"/>
        </w:rPr>
        <w:t>Log Sanitization:</w:t>
      </w:r>
      <w:r w:rsidRPr="26C3F31D">
        <w:rPr>
          <w:rFonts w:asciiTheme="majorHAnsi" w:hAnsiTheme="majorHAnsi" w:eastAsiaTheme="majorEastAsia" w:cstheme="majorBidi"/>
          <w:sz w:val="24"/>
          <w:szCs w:val="24"/>
        </w:rPr>
        <w:t xml:space="preserve"> Debug logs, traces, or test outputs containing sensitive system information or credentials must be disabled or deleted.</w:t>
      </w:r>
    </w:p>
    <w:p w:rsidR="135E3C54" w:rsidP="26C3F31D" w:rsidRDefault="135E3C54" w14:paraId="1053CCE2" w14:textId="32EE490D">
      <w:pPr>
        <w:widowControl w:val="0"/>
        <w:ind w:left="720"/>
        <w:rPr>
          <w:rFonts w:asciiTheme="majorHAnsi" w:hAnsiTheme="majorHAnsi" w:eastAsiaTheme="majorEastAsia" w:cstheme="majorBidi"/>
          <w:sz w:val="24"/>
          <w:szCs w:val="24"/>
        </w:rPr>
      </w:pPr>
      <w:r w:rsidRPr="26C3F31D">
        <w:rPr>
          <w:rFonts w:asciiTheme="majorHAnsi" w:hAnsiTheme="majorHAnsi" w:eastAsiaTheme="majorEastAsia" w:cstheme="majorBidi"/>
          <w:sz w:val="24"/>
          <w:szCs w:val="24"/>
        </w:rPr>
        <w:t xml:space="preserve"> </w:t>
      </w:r>
    </w:p>
    <w:p w:rsidR="135E3C54" w:rsidP="26C3F31D" w:rsidRDefault="135E3C54" w14:paraId="3563BC22" w14:textId="50F9E952">
      <w:pPr>
        <w:widowControl w:val="0"/>
        <w:ind w:left="720"/>
        <w:rPr>
          <w:rFonts w:asciiTheme="majorHAnsi" w:hAnsiTheme="majorHAnsi" w:eastAsiaTheme="majorEastAsia" w:cstheme="majorBidi"/>
          <w:sz w:val="24"/>
          <w:szCs w:val="24"/>
        </w:rPr>
      </w:pPr>
      <w:r w:rsidRPr="26C3F31D">
        <w:rPr>
          <w:rFonts w:asciiTheme="majorHAnsi" w:hAnsiTheme="majorHAnsi" w:eastAsiaTheme="majorEastAsia" w:cstheme="majorBidi"/>
          <w:b/>
          <w:bCs/>
          <w:sz w:val="24"/>
          <w:szCs w:val="24"/>
        </w:rPr>
        <w:t>Credential Scrubbing:</w:t>
      </w:r>
      <w:r w:rsidRPr="26C3F31D">
        <w:rPr>
          <w:rFonts w:asciiTheme="majorHAnsi" w:hAnsiTheme="majorHAnsi" w:eastAsiaTheme="majorEastAsia" w:cstheme="majorBidi"/>
          <w:sz w:val="24"/>
          <w:szCs w:val="24"/>
        </w:rPr>
        <w:t xml:space="preserve"> Hardcoded credentials, temporary access tokens, and environment-specific endpoints (e.g., dev-db-urls) must be removed.</w:t>
      </w:r>
    </w:p>
    <w:p w:rsidR="135E3C54" w:rsidP="26C3F31D" w:rsidRDefault="135E3C54" w14:paraId="166156B9" w14:textId="1E024E35">
      <w:pPr>
        <w:widowControl w:val="0"/>
        <w:ind w:left="720"/>
        <w:rPr>
          <w:rFonts w:asciiTheme="majorHAnsi" w:hAnsiTheme="majorHAnsi" w:eastAsiaTheme="majorEastAsia" w:cstheme="majorBidi"/>
          <w:sz w:val="24"/>
          <w:szCs w:val="24"/>
        </w:rPr>
      </w:pPr>
      <w:r w:rsidRPr="26C3F31D">
        <w:rPr>
          <w:rFonts w:asciiTheme="majorHAnsi" w:hAnsiTheme="majorHAnsi" w:eastAsiaTheme="majorEastAsia" w:cstheme="majorBidi"/>
          <w:sz w:val="24"/>
          <w:szCs w:val="24"/>
        </w:rPr>
        <w:t xml:space="preserve"> </w:t>
      </w:r>
    </w:p>
    <w:p w:rsidR="135E3C54" w:rsidP="26C3F31D" w:rsidRDefault="135E3C54" w14:paraId="5E8809AF" w14:textId="3F13853B">
      <w:pPr>
        <w:widowControl w:val="0"/>
        <w:ind w:left="720"/>
        <w:rPr>
          <w:rFonts w:asciiTheme="majorHAnsi" w:hAnsiTheme="majorHAnsi" w:eastAsiaTheme="majorEastAsia" w:cstheme="majorBidi"/>
          <w:sz w:val="24"/>
          <w:szCs w:val="24"/>
        </w:rPr>
      </w:pPr>
      <w:r w:rsidRPr="26C3F31D">
        <w:rPr>
          <w:rFonts w:asciiTheme="majorHAnsi" w:hAnsiTheme="majorHAnsi" w:eastAsiaTheme="majorEastAsia" w:cstheme="majorBidi"/>
          <w:b/>
          <w:bCs/>
          <w:sz w:val="24"/>
          <w:szCs w:val="24"/>
        </w:rPr>
        <w:t>Secrets Externalization:</w:t>
      </w:r>
      <w:r w:rsidRPr="26C3F31D">
        <w:rPr>
          <w:rFonts w:asciiTheme="majorHAnsi" w:hAnsiTheme="majorHAnsi" w:eastAsiaTheme="majorEastAsia" w:cstheme="majorBidi"/>
          <w:sz w:val="24"/>
          <w:szCs w:val="24"/>
        </w:rPr>
        <w:t xml:space="preserve"> All API keys, certificates, and tokens must be moved to the company’s authorized cloud secrets management service. They must not be embedded in code, configuration files, or container images.</w:t>
      </w:r>
    </w:p>
    <w:p w:rsidR="135E3C54" w:rsidP="26C3F31D" w:rsidRDefault="135E3C54" w14:paraId="10002F8C" w14:textId="497C4ACB">
      <w:pPr>
        <w:widowControl w:val="0"/>
        <w:ind w:left="720"/>
        <w:rPr>
          <w:rFonts w:asciiTheme="majorHAnsi" w:hAnsiTheme="majorHAnsi" w:eastAsiaTheme="majorEastAsia" w:cstheme="majorBidi"/>
          <w:sz w:val="24"/>
          <w:szCs w:val="24"/>
        </w:rPr>
      </w:pPr>
      <w:r w:rsidRPr="26C3F31D">
        <w:rPr>
          <w:rFonts w:asciiTheme="majorHAnsi" w:hAnsiTheme="majorHAnsi" w:eastAsiaTheme="majorEastAsia" w:cstheme="majorBidi"/>
          <w:sz w:val="24"/>
          <w:szCs w:val="24"/>
        </w:rPr>
        <w:t xml:space="preserve"> </w:t>
      </w:r>
    </w:p>
    <w:p w:rsidR="26C3F31D" w:rsidP="28BAC1A7" w:rsidRDefault="26C3F31D" w14:paraId="34D4D14C" w14:textId="7D396DDF">
      <w:pPr>
        <w:widowControl w:val="0"/>
        <w:ind w:left="720"/>
        <w:rPr>
          <w:rFonts w:ascii="Calibri" w:hAnsi="Calibri" w:eastAsia="Arial" w:cs="Arial" w:asciiTheme="majorAscii" w:hAnsiTheme="majorAscii" w:eastAsiaTheme="majorEastAsia" w:cstheme="majorBidi"/>
          <w:sz w:val="24"/>
          <w:szCs w:val="24"/>
        </w:rPr>
      </w:pPr>
      <w:r w:rsidRPr="28BAC1A7" w:rsidR="28BAC1A7">
        <w:rPr>
          <w:rFonts w:ascii="Calibri" w:hAnsi="Calibri" w:eastAsia="Arial" w:cs="Arial" w:asciiTheme="majorAscii" w:hAnsiTheme="majorAscii" w:eastAsiaTheme="majorEastAsia" w:cstheme="majorBidi"/>
          <w:b w:val="1"/>
          <w:bCs w:val="1"/>
          <w:sz w:val="24"/>
          <w:szCs w:val="24"/>
        </w:rPr>
        <w:t>Configuration Hardening:</w:t>
      </w:r>
      <w:r w:rsidRPr="28BAC1A7" w:rsidR="28BAC1A7">
        <w:rPr>
          <w:rFonts w:ascii="Calibri" w:hAnsi="Calibri" w:eastAsia="Arial" w:cs="Arial" w:asciiTheme="majorAscii" w:hAnsiTheme="majorAscii" w:eastAsiaTheme="majorEastAsia" w:cstheme="majorBidi"/>
          <w:sz w:val="24"/>
          <w:szCs w:val="24"/>
        </w:rPr>
        <w:t xml:space="preserve"> Test-specific configurations, such as custom application accounts, default "admin/admin" credentials, or temporary test users, must be removed before the application is live.</w:t>
      </w:r>
    </w:p>
    <w:p w:rsidR="26C3F31D" w:rsidP="26C3F31D" w:rsidRDefault="26C3F31D" w14:paraId="4720811F" w14:textId="6BA68313">
      <w:pPr>
        <w:widowControl w:val="0"/>
        <w:ind w:left="720"/>
        <w:rPr>
          <w:rFonts w:asciiTheme="majorHAnsi" w:hAnsiTheme="majorHAnsi" w:eastAsiaTheme="majorEastAsia" w:cstheme="majorBidi"/>
          <w:sz w:val="24"/>
          <w:szCs w:val="24"/>
        </w:rPr>
      </w:pPr>
    </w:p>
    <w:p w:rsidR="00130DAF" w:rsidRDefault="00130DAF" w14:paraId="773FB6C1" w14:textId="45979FBB">
      <w:pPr>
        <w:pBdr>
          <w:top w:val="none" w:color="000000" w:sz="4" w:space="0"/>
          <w:left w:val="none" w:color="000000" w:sz="4" w:space="0"/>
          <w:bottom w:val="none" w:color="000000" w:sz="4" w:space="0"/>
          <w:right w:val="none" w:color="000000" w:sz="4" w:space="0"/>
          <w:between w:val="none" w:color="000000" w:sz="4" w:space="0"/>
        </w:pBdr>
        <w:spacing w:before="0" w:after="0"/>
        <w:ind w:left="1418"/>
        <w:jc w:val="left"/>
        <w:rPr>
          <w:rFonts w:asciiTheme="majorHAnsi" w:hAnsiTheme="majorHAnsi" w:eastAsiaTheme="majorEastAsia" w:cstheme="majorBidi"/>
          <w:sz w:val="24"/>
          <w:szCs w:val="24"/>
        </w:rPr>
      </w:pPr>
    </w:p>
    <w:p w:rsidR="00130DAF" w:rsidP="26C3F31D" w:rsidRDefault="26C3F31D" w14:paraId="2C85E6FA" w14:textId="24A1CF39">
      <w:pPr>
        <w:pStyle w:val="Heading1"/>
        <w:numPr>
          <w:ilvl w:val="0"/>
          <w:numId w:val="17"/>
        </w:numPr>
        <w:spacing w:before="0"/>
        <w:rPr>
          <w:rFonts w:asciiTheme="majorHAnsi" w:hAnsiTheme="majorHAnsi" w:eastAsiaTheme="majorEastAsia" w:cstheme="majorBidi"/>
          <w:color w:val="000000" w:themeColor="text1"/>
          <w:sz w:val="32"/>
          <w:szCs w:val="32"/>
        </w:rPr>
      </w:pPr>
      <w:bookmarkStart w:name="_Toc217995835" w:id="29"/>
      <w:r w:rsidRPr="26C3F31D">
        <w:rPr>
          <w:rFonts w:asciiTheme="majorHAnsi" w:hAnsiTheme="majorHAnsi" w:eastAsiaTheme="majorEastAsia" w:cstheme="majorBidi"/>
          <w:color w:val="000000" w:themeColor="text1"/>
          <w:sz w:val="32"/>
          <w:szCs w:val="32"/>
        </w:rPr>
        <w:t>Third-Party Component Management</w:t>
      </w:r>
      <w:bookmarkEnd w:id="29"/>
      <w:r w:rsidRPr="26C3F31D">
        <w:rPr>
          <w:rFonts w:asciiTheme="majorHAnsi" w:hAnsiTheme="majorHAnsi" w:eastAsiaTheme="majorEastAsia" w:cstheme="majorBidi"/>
          <w:color w:val="000000" w:themeColor="text1"/>
          <w:sz w:val="32"/>
          <w:szCs w:val="32"/>
        </w:rPr>
        <w:t xml:space="preserve"> </w:t>
      </w:r>
    </w:p>
    <w:p w:rsidR="00130DAF" w:rsidP="26C3F31D" w:rsidRDefault="00FF399E" w14:paraId="7D799BE2" w14:textId="3C8BA80C">
      <w:pPr>
        <w:spacing w:before="319" w:after="319"/>
        <w:jc w:val="left"/>
        <w:rPr>
          <w:rFonts w:asciiTheme="majorHAnsi" w:hAnsiTheme="majorHAnsi" w:eastAsiaTheme="majorEastAsia" w:cstheme="majorBidi"/>
          <w:b/>
          <w:bCs/>
          <w:color w:val="000000" w:themeColor="text1"/>
          <w:sz w:val="24"/>
          <w:szCs w:val="24"/>
        </w:rPr>
      </w:pPr>
      <w:r>
        <w:br/>
      </w:r>
      <w:r w:rsidRPr="26C3F31D" w:rsidR="354D3321">
        <w:rPr>
          <w:rFonts w:asciiTheme="majorHAnsi" w:hAnsiTheme="majorHAnsi" w:eastAsiaTheme="majorEastAsia" w:cstheme="majorBidi"/>
          <w:b/>
          <w:bCs/>
          <w:color w:val="000000" w:themeColor="text1"/>
          <w:sz w:val="24"/>
          <w:szCs w:val="24"/>
        </w:rPr>
        <w:t>Component Definition</w:t>
      </w:r>
    </w:p>
    <w:p w:rsidR="00130DAF" w:rsidP="26C3F31D" w:rsidRDefault="354D3321" w14:paraId="70A60E0B" w14:textId="1514BD3B">
      <w:pPr>
        <w:spacing w:before="240" w:after="240"/>
        <w:jc w:val="left"/>
        <w:rPr>
          <w:rFonts w:asciiTheme="majorHAnsi" w:hAnsiTheme="majorHAnsi" w:eastAsiaTheme="majorEastAsia" w:cstheme="majorBidi"/>
          <w:color w:val="000000" w:themeColor="text1"/>
          <w:sz w:val="24"/>
          <w:szCs w:val="24"/>
        </w:rPr>
      </w:pPr>
      <w:r w:rsidRPr="26C3F31D">
        <w:rPr>
          <w:rFonts w:asciiTheme="majorHAnsi" w:hAnsiTheme="majorHAnsi" w:eastAsiaTheme="majorEastAsia" w:cstheme="majorBidi"/>
          <w:color w:val="000000" w:themeColor="text1"/>
          <w:sz w:val="24"/>
          <w:szCs w:val="24"/>
        </w:rPr>
        <w:t>A "Component" refers to any external code, library, or service integrated into the software ecosystem, including:</w:t>
      </w:r>
    </w:p>
    <w:p w:rsidR="00130DAF" w:rsidP="26C3F31D" w:rsidRDefault="354D3321" w14:paraId="6D8F3C75" w14:textId="0CECAB9A">
      <w:pPr>
        <w:pStyle w:val="ListParagraph"/>
        <w:numPr>
          <w:ilvl w:val="0"/>
          <w:numId w:val="6"/>
        </w:numPr>
        <w:spacing w:before="240" w:after="240"/>
        <w:jc w:val="left"/>
        <w:rPr>
          <w:rFonts w:asciiTheme="majorHAnsi" w:hAnsiTheme="majorHAnsi" w:eastAsiaTheme="majorEastAsia" w:cstheme="majorBidi"/>
          <w:color w:val="000000" w:themeColor="text1"/>
          <w:sz w:val="24"/>
          <w:szCs w:val="24"/>
        </w:rPr>
      </w:pPr>
      <w:r w:rsidRPr="26C3F31D">
        <w:rPr>
          <w:rFonts w:asciiTheme="majorHAnsi" w:hAnsiTheme="majorHAnsi" w:eastAsiaTheme="majorEastAsia" w:cstheme="majorBidi"/>
          <w:color w:val="000000" w:themeColor="text1"/>
          <w:sz w:val="24"/>
          <w:szCs w:val="24"/>
        </w:rPr>
        <w:t>Third-party libraries and frameworks (e.g., NPM, PyPI artifacts).</w:t>
      </w:r>
    </w:p>
    <w:p w:rsidR="00130DAF" w:rsidP="26C3F31D" w:rsidRDefault="354D3321" w14:paraId="278EB029" w14:textId="016F1FE9">
      <w:pPr>
        <w:pStyle w:val="ListParagraph"/>
        <w:numPr>
          <w:ilvl w:val="0"/>
          <w:numId w:val="6"/>
        </w:numPr>
        <w:spacing w:before="240" w:after="240"/>
        <w:jc w:val="left"/>
        <w:rPr>
          <w:rFonts w:asciiTheme="majorHAnsi" w:hAnsiTheme="majorHAnsi" w:eastAsiaTheme="majorEastAsia" w:cstheme="majorBidi"/>
          <w:color w:val="000000" w:themeColor="text1"/>
          <w:sz w:val="24"/>
          <w:szCs w:val="24"/>
        </w:rPr>
      </w:pPr>
      <w:r w:rsidRPr="26C3F31D">
        <w:rPr>
          <w:rFonts w:asciiTheme="majorHAnsi" w:hAnsiTheme="majorHAnsi" w:eastAsiaTheme="majorEastAsia" w:cstheme="majorBidi"/>
          <w:color w:val="000000" w:themeColor="text1"/>
          <w:sz w:val="24"/>
          <w:szCs w:val="24"/>
        </w:rPr>
        <w:t>Software Development Kits (SDKs) and APIs.</w:t>
      </w:r>
    </w:p>
    <w:p w:rsidR="00130DAF" w:rsidP="26C3F31D" w:rsidRDefault="354D3321" w14:paraId="44E0F6F8" w14:textId="6092B40D">
      <w:pPr>
        <w:pStyle w:val="ListParagraph"/>
        <w:numPr>
          <w:ilvl w:val="0"/>
          <w:numId w:val="6"/>
        </w:numPr>
        <w:spacing w:before="240" w:after="240"/>
        <w:jc w:val="left"/>
        <w:rPr>
          <w:rFonts w:asciiTheme="majorHAnsi" w:hAnsiTheme="majorHAnsi" w:eastAsiaTheme="majorEastAsia" w:cstheme="majorBidi"/>
          <w:color w:val="000000" w:themeColor="text1"/>
          <w:sz w:val="24"/>
          <w:szCs w:val="24"/>
        </w:rPr>
      </w:pPr>
      <w:r w:rsidRPr="26C3F31D">
        <w:rPr>
          <w:rFonts w:asciiTheme="majorHAnsi" w:hAnsiTheme="majorHAnsi" w:eastAsiaTheme="majorEastAsia" w:cstheme="majorBidi"/>
          <w:color w:val="000000" w:themeColor="text1"/>
          <w:sz w:val="24"/>
          <w:szCs w:val="24"/>
        </w:rPr>
        <w:t>Container base images and CLI tools.</w:t>
      </w:r>
    </w:p>
    <w:p w:rsidR="00130DAF" w:rsidP="26C3F31D" w:rsidRDefault="354D3321" w14:paraId="35ED92FD" w14:textId="71CB8F15">
      <w:pPr>
        <w:pStyle w:val="ListParagraph"/>
        <w:numPr>
          <w:ilvl w:val="0"/>
          <w:numId w:val="6"/>
        </w:numPr>
        <w:spacing w:before="240" w:after="240"/>
        <w:jc w:val="left"/>
        <w:rPr>
          <w:rFonts w:asciiTheme="majorHAnsi" w:hAnsiTheme="majorHAnsi" w:eastAsiaTheme="majorEastAsia" w:cstheme="majorBidi"/>
          <w:color w:val="000000" w:themeColor="text1"/>
          <w:sz w:val="24"/>
          <w:szCs w:val="24"/>
        </w:rPr>
      </w:pPr>
      <w:r w:rsidRPr="26C3F31D">
        <w:rPr>
          <w:rFonts w:asciiTheme="majorHAnsi" w:hAnsiTheme="majorHAnsi" w:eastAsiaTheme="majorEastAsia" w:cstheme="majorBidi"/>
          <w:color w:val="000000" w:themeColor="text1"/>
          <w:sz w:val="24"/>
          <w:szCs w:val="24"/>
        </w:rPr>
        <w:t>Integrated SaaS services and Commercial Off-The-Shelf (COTS) software.</w:t>
      </w:r>
    </w:p>
    <w:p w:rsidR="00130DAF" w:rsidP="26C3F31D" w:rsidRDefault="354D3321" w14:paraId="696C4093" w14:textId="5D993CAF">
      <w:pPr>
        <w:pStyle w:val="Heading4"/>
        <w:spacing w:before="319" w:after="319"/>
        <w:jc w:val="left"/>
        <w:rPr>
          <w:rFonts w:asciiTheme="majorHAnsi" w:hAnsiTheme="majorHAnsi"/>
          <w:b/>
          <w:bCs/>
          <w:i w:val="0"/>
          <w:iCs w:val="0"/>
          <w:color w:val="000000" w:themeColor="text1"/>
          <w:sz w:val="24"/>
          <w:szCs w:val="24"/>
        </w:rPr>
      </w:pPr>
      <w:r w:rsidRPr="26C3F31D">
        <w:rPr>
          <w:rFonts w:asciiTheme="majorHAnsi" w:hAnsiTheme="majorHAnsi"/>
          <w:b/>
          <w:bCs/>
          <w:i w:val="0"/>
          <w:iCs w:val="0"/>
          <w:color w:val="000000" w:themeColor="text1"/>
          <w:sz w:val="24"/>
          <w:szCs w:val="24"/>
        </w:rPr>
        <w:t>Selection Criteria</w:t>
      </w:r>
    </w:p>
    <w:p w:rsidR="00130DAF" w:rsidP="26C3F31D" w:rsidRDefault="354D3321" w14:paraId="2F0F7342" w14:textId="45A8E65C">
      <w:pPr>
        <w:spacing w:before="240" w:after="240"/>
        <w:jc w:val="left"/>
        <w:rPr>
          <w:rFonts w:asciiTheme="majorHAnsi" w:hAnsiTheme="majorHAnsi" w:eastAsiaTheme="majorEastAsia" w:cstheme="majorBidi"/>
          <w:color w:val="000000" w:themeColor="text1"/>
          <w:sz w:val="24"/>
          <w:szCs w:val="24"/>
        </w:rPr>
      </w:pPr>
      <w:r w:rsidRPr="26C3F31D">
        <w:rPr>
          <w:rFonts w:asciiTheme="majorHAnsi" w:hAnsiTheme="majorHAnsi" w:eastAsiaTheme="majorEastAsia" w:cstheme="majorBidi"/>
          <w:color w:val="000000" w:themeColor="text1"/>
          <w:sz w:val="24"/>
          <w:szCs w:val="24"/>
        </w:rPr>
        <w:t>Before introducing a new component, developers must apply the following standards:</w:t>
      </w:r>
    </w:p>
    <w:p w:rsidR="00130DAF" w:rsidP="26C3F31D" w:rsidRDefault="354D3321" w14:paraId="1F1049B1" w14:textId="451C608E">
      <w:pPr>
        <w:pStyle w:val="ListParagraph"/>
        <w:numPr>
          <w:ilvl w:val="0"/>
          <w:numId w:val="5"/>
        </w:numPr>
        <w:spacing w:before="240" w:after="240"/>
        <w:jc w:val="left"/>
        <w:rPr>
          <w:rFonts w:asciiTheme="majorHAnsi" w:hAnsiTheme="majorHAnsi" w:eastAsiaTheme="majorEastAsia" w:cstheme="majorBidi"/>
          <w:color w:val="000000" w:themeColor="text1"/>
          <w:sz w:val="24"/>
          <w:szCs w:val="24"/>
        </w:rPr>
      </w:pPr>
      <w:r w:rsidRPr="26C3F31D">
        <w:rPr>
          <w:rFonts w:asciiTheme="majorHAnsi" w:hAnsiTheme="majorHAnsi" w:eastAsiaTheme="majorEastAsia" w:cstheme="majorBidi"/>
          <w:b/>
          <w:bCs/>
          <w:color w:val="000000" w:themeColor="text1"/>
          <w:sz w:val="24"/>
          <w:szCs w:val="24"/>
        </w:rPr>
        <w:t>Native-First approach:</w:t>
      </w:r>
      <w:r w:rsidRPr="26C3F31D">
        <w:rPr>
          <w:rFonts w:asciiTheme="majorHAnsi" w:hAnsiTheme="majorHAnsi" w:eastAsiaTheme="majorEastAsia" w:cstheme="majorBidi"/>
          <w:color w:val="000000" w:themeColor="text1"/>
          <w:sz w:val="24"/>
          <w:szCs w:val="24"/>
        </w:rPr>
        <w:t xml:space="preserve"> Prioritize built-in capabilities of the existing framework before adding a new dependency.</w:t>
      </w:r>
    </w:p>
    <w:p w:rsidR="00130DAF" w:rsidP="26C3F31D" w:rsidRDefault="354D3321" w14:paraId="32533F20" w14:textId="7029B8C6">
      <w:pPr>
        <w:pStyle w:val="ListParagraph"/>
        <w:numPr>
          <w:ilvl w:val="0"/>
          <w:numId w:val="5"/>
        </w:numPr>
        <w:spacing w:before="240" w:after="240"/>
        <w:jc w:val="left"/>
        <w:rPr>
          <w:rFonts w:asciiTheme="majorHAnsi" w:hAnsiTheme="majorHAnsi" w:eastAsiaTheme="majorEastAsia" w:cstheme="majorBidi"/>
          <w:color w:val="000000" w:themeColor="text1"/>
          <w:sz w:val="24"/>
          <w:szCs w:val="24"/>
        </w:rPr>
      </w:pPr>
      <w:r w:rsidRPr="26C3F31D">
        <w:rPr>
          <w:rFonts w:asciiTheme="majorHAnsi" w:hAnsiTheme="majorHAnsi" w:eastAsiaTheme="majorEastAsia" w:cstheme="majorBidi"/>
          <w:b/>
          <w:bCs/>
          <w:color w:val="000000" w:themeColor="text1"/>
          <w:sz w:val="24"/>
          <w:szCs w:val="24"/>
        </w:rPr>
        <w:t>Viability Standards:</w:t>
      </w:r>
      <w:r w:rsidRPr="26C3F31D">
        <w:rPr>
          <w:rFonts w:asciiTheme="majorHAnsi" w:hAnsiTheme="majorHAnsi" w:eastAsiaTheme="majorEastAsia" w:cstheme="majorBidi"/>
          <w:color w:val="000000" w:themeColor="text1"/>
          <w:sz w:val="24"/>
          <w:szCs w:val="24"/>
        </w:rPr>
        <w:t xml:space="preserve"> Components must show evidence of </w:t>
      </w:r>
      <w:r w:rsidRPr="26C3F31D">
        <w:rPr>
          <w:rFonts w:asciiTheme="majorHAnsi" w:hAnsiTheme="majorHAnsi" w:eastAsiaTheme="majorEastAsia" w:cstheme="majorBidi"/>
          <w:b/>
          <w:bCs/>
          <w:color w:val="000000" w:themeColor="text1"/>
          <w:sz w:val="24"/>
          <w:szCs w:val="24"/>
        </w:rPr>
        <w:t>Active Maintenance</w:t>
      </w:r>
      <w:r w:rsidRPr="26C3F31D">
        <w:rPr>
          <w:rFonts w:asciiTheme="majorHAnsi" w:hAnsiTheme="majorHAnsi" w:eastAsiaTheme="majorEastAsia" w:cstheme="majorBidi"/>
          <w:color w:val="000000" w:themeColor="text1"/>
          <w:sz w:val="24"/>
          <w:szCs w:val="24"/>
        </w:rPr>
        <w:t xml:space="preserve"> (recent updates), </w:t>
      </w:r>
      <w:r w:rsidRPr="26C3F31D">
        <w:rPr>
          <w:rFonts w:asciiTheme="majorHAnsi" w:hAnsiTheme="majorHAnsi" w:eastAsiaTheme="majorEastAsia" w:cstheme="majorBidi"/>
          <w:b/>
          <w:bCs/>
          <w:color w:val="000000" w:themeColor="text1"/>
          <w:sz w:val="24"/>
          <w:szCs w:val="24"/>
        </w:rPr>
        <w:t>Industry Adoption</w:t>
      </w:r>
      <w:r w:rsidRPr="26C3F31D">
        <w:rPr>
          <w:rFonts w:asciiTheme="majorHAnsi" w:hAnsiTheme="majorHAnsi" w:eastAsiaTheme="majorEastAsia" w:cstheme="majorBidi"/>
          <w:color w:val="000000" w:themeColor="text1"/>
          <w:sz w:val="24"/>
          <w:szCs w:val="24"/>
        </w:rPr>
        <w:t xml:space="preserve">, and </w:t>
      </w:r>
      <w:r w:rsidRPr="26C3F31D">
        <w:rPr>
          <w:rFonts w:asciiTheme="majorHAnsi" w:hAnsiTheme="majorHAnsi" w:eastAsiaTheme="majorEastAsia" w:cstheme="majorBidi"/>
          <w:b/>
          <w:bCs/>
          <w:color w:val="000000" w:themeColor="text1"/>
          <w:sz w:val="24"/>
          <w:szCs w:val="24"/>
        </w:rPr>
        <w:t>Clear Documentation</w:t>
      </w:r>
      <w:r w:rsidRPr="26C3F31D">
        <w:rPr>
          <w:rFonts w:asciiTheme="majorHAnsi" w:hAnsiTheme="majorHAnsi" w:eastAsiaTheme="majorEastAsia" w:cstheme="majorBidi"/>
          <w:color w:val="000000" w:themeColor="text1"/>
          <w:sz w:val="24"/>
          <w:szCs w:val="24"/>
        </w:rPr>
        <w:t>.</w:t>
      </w:r>
    </w:p>
    <w:p w:rsidR="00130DAF" w:rsidP="26C3F31D" w:rsidRDefault="354D3321" w14:paraId="22A38BED" w14:textId="7C6306E8">
      <w:pPr>
        <w:pStyle w:val="ListParagraph"/>
        <w:numPr>
          <w:ilvl w:val="0"/>
          <w:numId w:val="5"/>
        </w:numPr>
        <w:spacing w:before="240" w:after="240"/>
        <w:jc w:val="left"/>
        <w:rPr>
          <w:rFonts w:asciiTheme="majorHAnsi" w:hAnsiTheme="majorHAnsi" w:eastAsiaTheme="majorEastAsia" w:cstheme="majorBidi"/>
          <w:color w:val="000000" w:themeColor="text1"/>
          <w:sz w:val="24"/>
          <w:szCs w:val="24"/>
        </w:rPr>
      </w:pPr>
      <w:r w:rsidRPr="26C3F31D">
        <w:rPr>
          <w:rFonts w:asciiTheme="majorHAnsi" w:hAnsiTheme="majorHAnsi" w:eastAsiaTheme="majorEastAsia" w:cstheme="majorBidi"/>
          <w:b/>
          <w:bCs/>
          <w:color w:val="000000" w:themeColor="text1"/>
          <w:sz w:val="24"/>
          <w:szCs w:val="24"/>
        </w:rPr>
        <w:t>Licensing:</w:t>
      </w:r>
      <w:r w:rsidRPr="26C3F31D">
        <w:rPr>
          <w:rFonts w:asciiTheme="majorHAnsi" w:hAnsiTheme="majorHAnsi" w:eastAsiaTheme="majorEastAsia" w:cstheme="majorBidi"/>
          <w:color w:val="000000" w:themeColor="text1"/>
          <w:sz w:val="24"/>
          <w:szCs w:val="24"/>
        </w:rPr>
        <w:t xml:space="preserve"> Licenses must be compatible with company legal requirements and must not impose "restrictive copyleft" obligations that could compromise the company's Intellectual Property.</w:t>
      </w:r>
    </w:p>
    <w:p w:rsidR="00130DAF" w:rsidP="26C3F31D" w:rsidRDefault="354D3321" w14:paraId="78940095" w14:textId="7C96BB24">
      <w:pPr>
        <w:pStyle w:val="Heading4"/>
        <w:spacing w:before="319" w:after="319"/>
        <w:jc w:val="left"/>
        <w:rPr>
          <w:rFonts w:asciiTheme="majorHAnsi" w:hAnsiTheme="majorHAnsi"/>
          <w:b/>
          <w:bCs/>
          <w:i w:val="0"/>
          <w:iCs w:val="0"/>
          <w:color w:val="000000" w:themeColor="text1"/>
          <w:sz w:val="24"/>
          <w:szCs w:val="24"/>
        </w:rPr>
      </w:pPr>
      <w:r w:rsidRPr="26C3F31D">
        <w:rPr>
          <w:rFonts w:asciiTheme="majorHAnsi" w:hAnsiTheme="majorHAnsi"/>
          <w:b/>
          <w:bCs/>
          <w:i w:val="0"/>
          <w:iCs w:val="0"/>
          <w:color w:val="000000" w:themeColor="text1"/>
          <w:sz w:val="24"/>
          <w:szCs w:val="24"/>
        </w:rPr>
        <w:t xml:space="preserve"> Version Management and SBOM</w:t>
      </w:r>
    </w:p>
    <w:p w:rsidR="00130DAF" w:rsidP="26C3F31D" w:rsidRDefault="354D3321" w14:paraId="37FA83ED" w14:textId="03A05E77">
      <w:pPr>
        <w:pStyle w:val="ListParagraph"/>
        <w:numPr>
          <w:ilvl w:val="0"/>
          <w:numId w:val="4"/>
        </w:numPr>
        <w:spacing w:before="240" w:after="240"/>
        <w:jc w:val="left"/>
        <w:rPr>
          <w:rFonts w:asciiTheme="majorHAnsi" w:hAnsiTheme="majorHAnsi" w:eastAsiaTheme="majorEastAsia" w:cstheme="majorBidi"/>
          <w:color w:val="000000" w:themeColor="text1"/>
          <w:sz w:val="24"/>
          <w:szCs w:val="24"/>
        </w:rPr>
      </w:pPr>
      <w:r w:rsidRPr="26C3F31D">
        <w:rPr>
          <w:rFonts w:asciiTheme="majorHAnsi" w:hAnsiTheme="majorHAnsi" w:eastAsiaTheme="majorEastAsia" w:cstheme="majorBidi"/>
          <w:b/>
          <w:bCs/>
          <w:color w:val="000000" w:themeColor="text1"/>
          <w:sz w:val="24"/>
          <w:szCs w:val="24"/>
        </w:rPr>
        <w:t>Version Pinning:</w:t>
      </w:r>
      <w:r w:rsidRPr="26C3F31D">
        <w:rPr>
          <w:rFonts w:asciiTheme="majorHAnsi" w:hAnsiTheme="majorHAnsi" w:eastAsiaTheme="majorEastAsia" w:cstheme="majorBidi"/>
          <w:color w:val="000000" w:themeColor="text1"/>
          <w:sz w:val="24"/>
          <w:szCs w:val="24"/>
        </w:rPr>
        <w:t xml:space="preserve"> Developers must use pinned versions for all dependencies. The use of "latest" tags in production builds is prohibited to prevent supply chain attacks or breaking changes.</w:t>
      </w:r>
    </w:p>
    <w:p w:rsidR="00130DAF" w:rsidP="26C3F31D" w:rsidRDefault="354D3321" w14:paraId="4901174D" w14:textId="101F7C07">
      <w:pPr>
        <w:pStyle w:val="ListParagraph"/>
        <w:numPr>
          <w:ilvl w:val="0"/>
          <w:numId w:val="4"/>
        </w:numPr>
        <w:spacing w:before="240" w:after="240"/>
        <w:jc w:val="left"/>
        <w:rPr>
          <w:rFonts w:asciiTheme="majorHAnsi" w:hAnsiTheme="majorHAnsi" w:eastAsiaTheme="majorEastAsia" w:cstheme="majorBidi"/>
          <w:color w:val="000000" w:themeColor="text1"/>
          <w:sz w:val="24"/>
          <w:szCs w:val="24"/>
        </w:rPr>
      </w:pPr>
      <w:r w:rsidRPr="26C3F31D">
        <w:rPr>
          <w:rFonts w:asciiTheme="majorHAnsi" w:hAnsiTheme="majorHAnsi" w:eastAsiaTheme="majorEastAsia" w:cstheme="majorBidi"/>
          <w:b/>
          <w:bCs/>
          <w:color w:val="000000" w:themeColor="text1"/>
          <w:sz w:val="24"/>
          <w:szCs w:val="24"/>
        </w:rPr>
        <w:t>Software Bill of Materials (SBOM):</w:t>
      </w:r>
      <w:r w:rsidRPr="26C3F31D">
        <w:rPr>
          <w:rFonts w:asciiTheme="majorHAnsi" w:hAnsiTheme="majorHAnsi" w:eastAsiaTheme="majorEastAsia" w:cstheme="majorBidi"/>
          <w:color w:val="000000" w:themeColor="text1"/>
          <w:sz w:val="24"/>
          <w:szCs w:val="24"/>
        </w:rPr>
        <w:t xml:space="preserve"> A central inventory of all dependencies, including transitive dependencies, is automatically maintained and monitored via the company’s integrated security scanning tools.</w:t>
      </w:r>
    </w:p>
    <w:p w:rsidR="00130DAF" w:rsidP="26C3F31D" w:rsidRDefault="354D3321" w14:paraId="0D28798B" w14:textId="6C45355A">
      <w:pPr>
        <w:pStyle w:val="Heading4"/>
        <w:spacing w:before="319" w:after="319"/>
        <w:jc w:val="left"/>
        <w:rPr>
          <w:rFonts w:asciiTheme="majorHAnsi" w:hAnsiTheme="majorHAnsi"/>
          <w:b/>
          <w:bCs/>
          <w:i w:val="0"/>
          <w:iCs w:val="0"/>
          <w:color w:val="000000" w:themeColor="text1"/>
          <w:sz w:val="24"/>
          <w:szCs w:val="24"/>
        </w:rPr>
      </w:pPr>
      <w:r w:rsidRPr="26C3F31D">
        <w:rPr>
          <w:rFonts w:asciiTheme="majorHAnsi" w:hAnsiTheme="majorHAnsi"/>
          <w:b/>
          <w:bCs/>
          <w:i w:val="0"/>
          <w:iCs w:val="0"/>
          <w:color w:val="000000" w:themeColor="text1"/>
          <w:sz w:val="24"/>
          <w:szCs w:val="24"/>
        </w:rPr>
        <w:t>Approval and Integration (Continuous SDLC)</w:t>
      </w:r>
    </w:p>
    <w:p w:rsidR="00130DAF" w:rsidP="26C3F31D" w:rsidRDefault="354D3321" w14:paraId="3A1D2DE8" w14:textId="01A47120">
      <w:pPr>
        <w:spacing w:before="240" w:after="240"/>
        <w:jc w:val="left"/>
        <w:rPr>
          <w:rFonts w:asciiTheme="majorHAnsi" w:hAnsiTheme="majorHAnsi" w:eastAsiaTheme="majorEastAsia" w:cstheme="majorBidi"/>
          <w:color w:val="000000" w:themeColor="text1"/>
          <w:sz w:val="24"/>
          <w:szCs w:val="24"/>
        </w:rPr>
      </w:pPr>
      <w:r w:rsidRPr="26C3F31D">
        <w:rPr>
          <w:rFonts w:asciiTheme="majorHAnsi" w:hAnsiTheme="majorHAnsi" w:eastAsiaTheme="majorEastAsia" w:cstheme="majorBidi"/>
          <w:color w:val="000000" w:themeColor="text1"/>
          <w:sz w:val="24"/>
          <w:szCs w:val="24"/>
        </w:rPr>
        <w:t>The introduction of a new third-party library is managed through the standard peer-review process:</w:t>
      </w:r>
    </w:p>
    <w:p w:rsidR="00130DAF" w:rsidP="26C3F31D" w:rsidRDefault="354D3321" w14:paraId="2D2B22C4" w14:textId="0EA8852A">
      <w:pPr>
        <w:pStyle w:val="ListParagraph"/>
        <w:numPr>
          <w:ilvl w:val="0"/>
          <w:numId w:val="3"/>
        </w:numPr>
        <w:spacing w:before="240" w:after="240"/>
        <w:jc w:val="left"/>
        <w:rPr>
          <w:rFonts w:asciiTheme="majorHAnsi" w:hAnsiTheme="majorHAnsi" w:eastAsiaTheme="majorEastAsia" w:cstheme="majorBidi"/>
          <w:color w:val="000000" w:themeColor="text1"/>
          <w:sz w:val="24"/>
          <w:szCs w:val="24"/>
        </w:rPr>
      </w:pPr>
      <w:r w:rsidRPr="26C3F31D">
        <w:rPr>
          <w:rFonts w:asciiTheme="majorHAnsi" w:hAnsiTheme="majorHAnsi" w:eastAsiaTheme="majorEastAsia" w:cstheme="majorBidi"/>
          <w:b/>
          <w:bCs/>
          <w:color w:val="000000" w:themeColor="text1"/>
          <w:sz w:val="24"/>
          <w:szCs w:val="24"/>
        </w:rPr>
        <w:t>Justification:</w:t>
      </w:r>
      <w:r w:rsidRPr="26C3F31D">
        <w:rPr>
          <w:rFonts w:asciiTheme="majorHAnsi" w:hAnsiTheme="majorHAnsi" w:eastAsiaTheme="majorEastAsia" w:cstheme="majorBidi"/>
          <w:color w:val="000000" w:themeColor="text1"/>
          <w:sz w:val="24"/>
          <w:szCs w:val="24"/>
        </w:rPr>
        <w:t xml:space="preserve"> Developers must confirm in the internal communication channel that an existing approved library cannot solve the requirement.</w:t>
      </w:r>
    </w:p>
    <w:p w:rsidR="00130DAF" w:rsidP="26C3F31D" w:rsidRDefault="354D3321" w14:paraId="1903E080" w14:textId="24B8E9E6">
      <w:pPr>
        <w:pStyle w:val="ListParagraph"/>
        <w:numPr>
          <w:ilvl w:val="0"/>
          <w:numId w:val="3"/>
        </w:numPr>
        <w:spacing w:before="240" w:after="240"/>
        <w:jc w:val="left"/>
        <w:rPr>
          <w:rFonts w:asciiTheme="majorHAnsi" w:hAnsiTheme="majorHAnsi" w:eastAsiaTheme="majorEastAsia" w:cstheme="majorBidi"/>
          <w:color w:val="000000" w:themeColor="text1"/>
          <w:sz w:val="24"/>
          <w:szCs w:val="24"/>
        </w:rPr>
      </w:pPr>
      <w:r w:rsidRPr="26C3F31D">
        <w:rPr>
          <w:rFonts w:asciiTheme="majorHAnsi" w:hAnsiTheme="majorHAnsi" w:eastAsiaTheme="majorEastAsia" w:cstheme="majorBidi"/>
          <w:b/>
          <w:bCs/>
          <w:color w:val="000000" w:themeColor="text1"/>
          <w:sz w:val="24"/>
          <w:szCs w:val="24"/>
        </w:rPr>
        <w:t>Peer Review:</w:t>
      </w:r>
      <w:r w:rsidRPr="26C3F31D">
        <w:rPr>
          <w:rFonts w:asciiTheme="majorHAnsi" w:hAnsiTheme="majorHAnsi" w:eastAsiaTheme="majorEastAsia" w:cstheme="majorBidi"/>
          <w:color w:val="000000" w:themeColor="text1"/>
          <w:sz w:val="24"/>
          <w:szCs w:val="24"/>
        </w:rPr>
        <w:t xml:space="preserve"> The addition of a new dependency must be explicitly flagged in the Pull Request (PR) for review by the Tech Lead or DevOps.</w:t>
      </w:r>
    </w:p>
    <w:p w:rsidR="00130DAF" w:rsidP="26C3F31D" w:rsidRDefault="354D3321" w14:paraId="783ED273" w14:textId="10ACDBDF">
      <w:pPr>
        <w:pStyle w:val="ListParagraph"/>
        <w:numPr>
          <w:ilvl w:val="0"/>
          <w:numId w:val="3"/>
        </w:numPr>
        <w:spacing w:before="240" w:after="240"/>
        <w:jc w:val="left"/>
        <w:rPr>
          <w:rFonts w:asciiTheme="majorHAnsi" w:hAnsiTheme="majorHAnsi" w:eastAsiaTheme="majorEastAsia" w:cstheme="majorBidi"/>
          <w:color w:val="000000" w:themeColor="text1"/>
          <w:sz w:val="24"/>
          <w:szCs w:val="24"/>
        </w:rPr>
      </w:pPr>
      <w:r w:rsidRPr="26C3F31D">
        <w:rPr>
          <w:rFonts w:asciiTheme="majorHAnsi" w:hAnsiTheme="majorHAnsi" w:eastAsiaTheme="majorEastAsia" w:cstheme="majorBidi"/>
          <w:b/>
          <w:bCs/>
          <w:color w:val="000000" w:themeColor="text1"/>
          <w:sz w:val="24"/>
          <w:szCs w:val="24"/>
        </w:rPr>
        <w:t>Vulnerability Check:</w:t>
      </w:r>
      <w:r w:rsidRPr="26C3F31D">
        <w:rPr>
          <w:rFonts w:asciiTheme="majorHAnsi" w:hAnsiTheme="majorHAnsi" w:eastAsiaTheme="majorEastAsia" w:cstheme="majorBidi"/>
          <w:color w:val="000000" w:themeColor="text1"/>
          <w:sz w:val="24"/>
          <w:szCs w:val="24"/>
        </w:rPr>
        <w:t xml:space="preserve"> The automated scanning tool must clear the new component of any "Critical" or "High" vulnerabilities before it is merged.</w:t>
      </w:r>
    </w:p>
    <w:p w:rsidR="00130DAF" w:rsidP="26C3F31D" w:rsidRDefault="354D3321" w14:paraId="64EBAC53" w14:textId="2285B035">
      <w:pPr>
        <w:pStyle w:val="Heading4"/>
        <w:spacing w:before="319" w:after="319"/>
        <w:jc w:val="left"/>
        <w:rPr>
          <w:rFonts w:asciiTheme="majorHAnsi" w:hAnsiTheme="majorHAnsi"/>
          <w:b/>
          <w:bCs/>
          <w:i w:val="0"/>
          <w:iCs w:val="0"/>
          <w:color w:val="000000" w:themeColor="text1"/>
          <w:sz w:val="24"/>
          <w:szCs w:val="24"/>
        </w:rPr>
      </w:pPr>
      <w:r w:rsidRPr="26C3F31D">
        <w:rPr>
          <w:rFonts w:asciiTheme="majorHAnsi" w:hAnsiTheme="majorHAnsi"/>
          <w:b/>
          <w:bCs/>
          <w:i w:val="0"/>
          <w:iCs w:val="0"/>
          <w:color w:val="000000" w:themeColor="text1"/>
          <w:sz w:val="24"/>
          <w:szCs w:val="24"/>
        </w:rPr>
        <w:t>Ongoing Maintenance and Removal</w:t>
      </w:r>
    </w:p>
    <w:p w:rsidR="00130DAF" w:rsidP="26C3F31D" w:rsidRDefault="354D3321" w14:paraId="7706616B" w14:textId="6B494536">
      <w:pPr>
        <w:pStyle w:val="ListParagraph"/>
        <w:numPr>
          <w:ilvl w:val="0"/>
          <w:numId w:val="2"/>
        </w:numPr>
        <w:spacing w:before="240" w:after="240"/>
        <w:jc w:val="left"/>
        <w:rPr>
          <w:rFonts w:asciiTheme="majorHAnsi" w:hAnsiTheme="majorHAnsi" w:eastAsiaTheme="majorEastAsia" w:cstheme="majorBidi"/>
          <w:color w:val="000000" w:themeColor="text1"/>
          <w:sz w:val="24"/>
          <w:szCs w:val="24"/>
        </w:rPr>
      </w:pPr>
      <w:r w:rsidRPr="26C3F31D">
        <w:rPr>
          <w:rFonts w:asciiTheme="majorHAnsi" w:hAnsiTheme="majorHAnsi" w:eastAsiaTheme="majorEastAsia" w:cstheme="majorBidi"/>
          <w:b/>
          <w:bCs/>
          <w:color w:val="000000" w:themeColor="text1"/>
          <w:sz w:val="24"/>
          <w:szCs w:val="24"/>
        </w:rPr>
        <w:t>Continuous Monitoring:</w:t>
      </w:r>
      <w:r w:rsidRPr="26C3F31D">
        <w:rPr>
          <w:rFonts w:asciiTheme="majorHAnsi" w:hAnsiTheme="majorHAnsi" w:eastAsiaTheme="majorEastAsia" w:cstheme="majorBidi"/>
          <w:color w:val="000000" w:themeColor="text1"/>
          <w:sz w:val="24"/>
          <w:szCs w:val="24"/>
        </w:rPr>
        <w:t xml:space="preserve"> The cloud environment and code repositories are continuously monitored for new security alerts regarding existing components.</w:t>
      </w:r>
    </w:p>
    <w:p w:rsidR="00130DAF" w:rsidP="26C3F31D" w:rsidRDefault="354D3321" w14:paraId="4B6D0BEE" w14:textId="3D9C076B">
      <w:pPr>
        <w:pStyle w:val="ListParagraph"/>
        <w:numPr>
          <w:ilvl w:val="0"/>
          <w:numId w:val="2"/>
        </w:numPr>
        <w:spacing w:before="240" w:after="240"/>
        <w:jc w:val="left"/>
        <w:rPr>
          <w:rFonts w:asciiTheme="majorHAnsi" w:hAnsiTheme="majorHAnsi" w:eastAsiaTheme="majorEastAsia" w:cstheme="majorBidi"/>
          <w:color w:val="000000" w:themeColor="text1"/>
          <w:sz w:val="24"/>
          <w:szCs w:val="24"/>
        </w:rPr>
      </w:pPr>
      <w:r w:rsidRPr="26C3F31D">
        <w:rPr>
          <w:rFonts w:asciiTheme="majorHAnsi" w:hAnsiTheme="majorHAnsi" w:eastAsiaTheme="majorEastAsia" w:cstheme="majorBidi"/>
          <w:b/>
          <w:bCs/>
          <w:color w:val="000000" w:themeColor="text1"/>
          <w:sz w:val="24"/>
          <w:szCs w:val="24"/>
        </w:rPr>
        <w:t>Patching SLA:</w:t>
      </w:r>
      <w:r w:rsidRPr="26C3F31D">
        <w:rPr>
          <w:rFonts w:asciiTheme="majorHAnsi" w:hAnsiTheme="majorHAnsi" w:eastAsiaTheme="majorEastAsia" w:cstheme="majorBidi"/>
          <w:color w:val="000000" w:themeColor="text1"/>
          <w:sz w:val="24"/>
          <w:szCs w:val="24"/>
        </w:rPr>
        <w:t xml:space="preserve"> Vulnerabilities discovered in third-party components must be patched according to the company’s standard remediation SLA (Critical 72 hours, High 14 days, Medium 30 days, Low 90 days).</w:t>
      </w:r>
    </w:p>
    <w:p w:rsidR="00130DAF" w:rsidP="26C3F31D" w:rsidRDefault="354D3321" w14:paraId="3FCF1FF2" w14:textId="743CECF4">
      <w:pPr>
        <w:pStyle w:val="ListParagraph"/>
        <w:numPr>
          <w:ilvl w:val="0"/>
          <w:numId w:val="2"/>
        </w:numPr>
        <w:spacing w:before="240" w:after="240"/>
        <w:jc w:val="left"/>
        <w:rPr/>
      </w:pPr>
      <w:r w:rsidRPr="5BE524DB" w:rsidR="5BE524DB">
        <w:rPr>
          <w:rFonts w:ascii="Calibri" w:hAnsi="Calibri" w:eastAsia="Arial" w:cs="Arial" w:asciiTheme="majorAscii" w:hAnsiTheme="majorAscii" w:eastAsiaTheme="majorEastAsia" w:cstheme="majorBidi"/>
          <w:b w:val="1"/>
          <w:bCs w:val="1"/>
          <w:color w:val="000000" w:themeColor="text1" w:themeTint="FF" w:themeShade="FF"/>
          <w:sz w:val="24"/>
          <w:szCs w:val="24"/>
        </w:rPr>
        <w:t>Cleanup:</w:t>
      </w:r>
      <w:r w:rsidRPr="5BE524DB" w:rsidR="5BE524DB">
        <w:rPr>
          <w:rFonts w:ascii="Calibri" w:hAnsi="Calibri" w:eastAsia="Arial" w:cs="Arial" w:asciiTheme="majorAscii" w:hAnsiTheme="majorAscii" w:eastAsiaTheme="majorEastAsia" w:cstheme="majorBidi"/>
          <w:color w:val="000000" w:themeColor="text1" w:themeTint="FF" w:themeShade="FF"/>
          <w:sz w:val="24"/>
          <w:szCs w:val="24"/>
        </w:rPr>
        <w:t xml:space="preserve"> Components that are unused, reach End-of-Life (EOL), or are deemed insecure must be removed from the codebase and build configurations</w:t>
      </w:r>
      <w:r w:rsidR="5BE524DB">
        <w:rPr/>
        <w:t>.</w:t>
      </w:r>
    </w:p>
    <w:p w:rsidR="00130DAF" w:rsidP="26C3F31D" w:rsidRDefault="5453FF9A" w14:paraId="19311BB1" w14:textId="5BEBACC4">
      <w:pPr>
        <w:pStyle w:val="Heading3"/>
        <w:spacing w:before="281" w:after="281"/>
        <w:rPr>
          <w:rFonts w:asciiTheme="majorHAnsi" w:hAnsiTheme="majorHAnsi"/>
          <w:b/>
          <w:bCs/>
          <w:color w:val="000000" w:themeColor="text1"/>
          <w:sz w:val="32"/>
          <w:szCs w:val="32"/>
        </w:rPr>
      </w:pPr>
      <w:r w:rsidRPr="26C3F31D">
        <w:rPr>
          <w:rFonts w:asciiTheme="majorHAnsi" w:hAnsiTheme="majorHAnsi"/>
          <w:b/>
          <w:bCs/>
          <w:color w:val="000000" w:themeColor="text1"/>
          <w:sz w:val="32"/>
          <w:szCs w:val="32"/>
        </w:rPr>
        <w:t>Policy Governance and Review</w:t>
      </w:r>
    </w:p>
    <w:p w:rsidR="00130DAF" w:rsidP="26C3F31D" w:rsidRDefault="5453FF9A" w14:paraId="302FDA36" w14:textId="697AFE28">
      <w:pPr>
        <w:spacing w:before="240" w:after="240"/>
        <w:rPr>
          <w:rFonts w:asciiTheme="majorHAnsi" w:hAnsiTheme="majorHAnsi" w:eastAsiaTheme="majorEastAsia" w:cstheme="majorBidi"/>
          <w:sz w:val="24"/>
          <w:szCs w:val="24"/>
        </w:rPr>
      </w:pPr>
      <w:r w:rsidRPr="26C3F31D">
        <w:rPr>
          <w:rFonts w:asciiTheme="majorHAnsi" w:hAnsiTheme="majorHAnsi" w:eastAsiaTheme="majorEastAsia" w:cstheme="majorBidi"/>
          <w:sz w:val="24"/>
          <w:szCs w:val="24"/>
        </w:rPr>
        <w:t>This document must be reviewed and updated at least annually, or upon significant changes to the organization’s technology stack or regulatory requirements.</w:t>
      </w:r>
    </w:p>
    <w:p w:rsidR="00130DAF" w:rsidP="26C3F31D" w:rsidRDefault="5453FF9A" w14:paraId="385FE7A6" w14:textId="546795EB">
      <w:pPr>
        <w:spacing w:before="240" w:after="240"/>
        <w:rPr>
          <w:rFonts w:asciiTheme="majorHAnsi" w:hAnsiTheme="majorHAnsi" w:eastAsiaTheme="majorEastAsia" w:cstheme="majorBidi"/>
          <w:sz w:val="24"/>
          <w:szCs w:val="24"/>
        </w:rPr>
      </w:pPr>
      <w:r w:rsidRPr="26C3F31D">
        <w:rPr>
          <w:rFonts w:asciiTheme="majorHAnsi" w:hAnsiTheme="majorHAnsi" w:eastAsiaTheme="majorEastAsia" w:cstheme="majorBidi"/>
          <w:b/>
          <w:bCs/>
          <w:sz w:val="24"/>
          <w:szCs w:val="24"/>
        </w:rPr>
        <w:t>Effectiveness Metrics:</w:t>
      </w:r>
      <w:r w:rsidRPr="26C3F31D">
        <w:rPr>
          <w:rFonts w:asciiTheme="majorHAnsi" w:hAnsiTheme="majorHAnsi" w:eastAsiaTheme="majorEastAsia" w:cstheme="majorBidi"/>
          <w:sz w:val="24"/>
          <w:szCs w:val="24"/>
        </w:rPr>
        <w:t xml:space="preserve"> The adequacy of this policy shall be evaluated based on:</w:t>
      </w:r>
    </w:p>
    <w:p w:rsidR="00130DAF" w:rsidP="26C3F31D" w:rsidRDefault="5453FF9A" w14:paraId="01D26E6A" w14:textId="4B455B54">
      <w:pPr>
        <w:pStyle w:val="ListParagraph"/>
        <w:numPr>
          <w:ilvl w:val="0"/>
          <w:numId w:val="1"/>
        </w:numPr>
        <w:spacing w:before="240" w:after="240"/>
        <w:rPr>
          <w:rFonts w:asciiTheme="majorHAnsi" w:hAnsiTheme="majorHAnsi" w:eastAsiaTheme="majorEastAsia" w:cstheme="majorBidi"/>
          <w:sz w:val="24"/>
          <w:szCs w:val="24"/>
        </w:rPr>
      </w:pPr>
      <w:r w:rsidRPr="26C3F31D">
        <w:rPr>
          <w:rFonts w:asciiTheme="majorHAnsi" w:hAnsiTheme="majorHAnsi" w:eastAsiaTheme="majorEastAsia" w:cstheme="majorBidi"/>
          <w:sz w:val="24"/>
          <w:szCs w:val="24"/>
        </w:rPr>
        <w:t>The number of security incidents resulting from failed controls within the SDLC.</w:t>
      </w:r>
    </w:p>
    <w:p w:rsidR="00130DAF" w:rsidP="26C3F31D" w:rsidRDefault="5453FF9A" w14:paraId="318E2822" w14:textId="07711F51">
      <w:pPr>
        <w:pStyle w:val="ListParagraph"/>
        <w:numPr>
          <w:ilvl w:val="0"/>
          <w:numId w:val="1"/>
        </w:numPr>
        <w:spacing w:before="240" w:after="240"/>
        <w:rPr>
          <w:rFonts w:asciiTheme="majorHAnsi" w:hAnsiTheme="majorHAnsi" w:eastAsiaTheme="majorEastAsia" w:cstheme="majorBidi"/>
          <w:sz w:val="24"/>
          <w:szCs w:val="24"/>
        </w:rPr>
      </w:pPr>
      <w:r w:rsidRPr="26C3F31D">
        <w:rPr>
          <w:rFonts w:asciiTheme="majorHAnsi" w:hAnsiTheme="majorHAnsi" w:eastAsiaTheme="majorEastAsia" w:cstheme="majorBidi"/>
          <w:sz w:val="24"/>
          <w:szCs w:val="24"/>
        </w:rPr>
        <w:t>The average "Time-to-Remediate" for vulnerabilities identified by automated scanning tools.</w:t>
      </w:r>
    </w:p>
    <w:p w:rsidR="00130DAF" w:rsidP="28BAC1A7" w:rsidRDefault="5453FF9A" w14:paraId="323EC1D0" w14:textId="066BEA4C">
      <w:pPr>
        <w:pStyle w:val="ListParagraph"/>
        <w:numPr>
          <w:ilvl w:val="0"/>
          <w:numId w:val="1"/>
        </w:numPr>
        <w:spacing w:before="240" w:after="240"/>
        <w:rPr>
          <w:rFonts w:ascii="Calibri" w:hAnsi="Calibri" w:eastAsia="Arial" w:cs="Arial" w:asciiTheme="majorAscii" w:hAnsiTheme="majorAscii" w:eastAsiaTheme="majorEastAsia" w:cstheme="majorBidi"/>
          <w:sz w:val="24"/>
          <w:szCs w:val="24"/>
        </w:rPr>
      </w:pPr>
      <w:r w:rsidRPr="28BAC1A7" w:rsidR="28BAC1A7">
        <w:rPr>
          <w:rFonts w:ascii="Calibri" w:hAnsi="Calibri" w:eastAsia="Arial" w:cs="Arial" w:asciiTheme="majorAscii" w:hAnsiTheme="majorAscii" w:eastAsiaTheme="majorEastAsia" w:cstheme="majorBidi"/>
          <w:sz w:val="24"/>
          <w:szCs w:val="24"/>
        </w:rPr>
        <w:t>The percentage of code changes successfully passing through peer review and automated testing.</w:t>
      </w:r>
    </w:p>
    <w:p w:rsidR="28BAC1A7" w:rsidP="28BAC1A7" w:rsidRDefault="28BAC1A7" w14:paraId="60BE0C40" w14:textId="3B7FA66B">
      <w:pPr>
        <w:pStyle w:val="Normal"/>
        <w:spacing w:before="240" w:after="240"/>
        <w:rPr>
          <w:rFonts w:ascii="Calibri" w:hAnsi="Calibri" w:eastAsia="Arial" w:cs="Arial" w:asciiTheme="majorAscii" w:hAnsiTheme="majorAscii" w:eastAsiaTheme="majorEastAsia" w:cstheme="majorBidi"/>
          <w:sz w:val="24"/>
          <w:szCs w:val="24"/>
        </w:rPr>
      </w:pPr>
    </w:p>
    <w:p w:rsidR="28BAC1A7" w:rsidP="28BAC1A7" w:rsidRDefault="28BAC1A7" w14:paraId="68146854" w14:textId="2FBC74E4">
      <w:pPr>
        <w:pStyle w:val="Normal"/>
        <w:spacing w:before="240" w:after="240"/>
        <w:rPr>
          <w:rFonts w:ascii="Calibri" w:hAnsi="Calibri" w:eastAsia="Arial" w:cs="Arial" w:asciiTheme="majorAscii" w:hAnsiTheme="majorAscii" w:eastAsiaTheme="majorEastAsia" w:cstheme="majorBidi"/>
          <w:sz w:val="24"/>
          <w:szCs w:val="24"/>
        </w:rPr>
      </w:pPr>
    </w:p>
    <w:sectPr w:rsidR="00130DAF">
      <w:headerReference w:type="even" r:id="rId12"/>
      <w:headerReference w:type="default" r:id="rId13"/>
      <w:footerReference w:type="even" r:id="rId14"/>
      <w:footerReference w:type="default" r:id="rId15"/>
      <w:headerReference w:type="first" r:id="rId16"/>
      <w:footerReference w:type="first" r:id="rId17"/>
      <w:pgSz w:w="12240" w:h="15840" w:orient="portrait"/>
      <w:pgMar w:top="1112" w:right="1440" w:bottom="1440" w:left="1440" w:header="36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F399E" w:rsidRDefault="00FF399E" w14:paraId="77BDCC70" w14:textId="77777777">
      <w:pPr>
        <w:spacing w:before="0" w:after="0"/>
      </w:pPr>
      <w:r>
        <w:separator/>
      </w:r>
    </w:p>
  </w:endnote>
  <w:endnote w:type="continuationSeparator" w:id="0">
    <w:p w:rsidR="00FF399E" w:rsidRDefault="00FF399E" w14:paraId="373AFD32"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0DAF" w:rsidRDefault="00130DAF" w14:paraId="3E7FDB39" w14:textId="77777777">
    <w:pPr>
      <w:pBdr>
        <w:top w:val="none" w:color="000000" w:sz="4" w:space="0"/>
        <w:left w:val="none" w:color="000000" w:sz="4" w:space="0"/>
        <w:bottom w:val="none" w:color="000000" w:sz="4" w:space="0"/>
        <w:right w:val="none" w:color="000000" w:sz="4" w:space="0"/>
        <w:between w:val="none" w:color="000000" w:sz="4" w:space="0"/>
      </w:pBdr>
      <w:tabs>
        <w:tab w:val="center" w:pos="4153"/>
        <w:tab w:val="right" w:pos="8306"/>
      </w:tabs>
      <w:spacing w:before="0" w:after="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0DAF" w:rsidRDefault="00FF399E" w14:paraId="79868267" w14:textId="77777777">
    <w:pPr>
      <w:pBdr>
        <w:top w:val="single" w:color="000000" w:sz="4" w:space="0"/>
      </w:pBdr>
      <w:tabs>
        <w:tab w:val="center" w:pos="4320"/>
        <w:tab w:val="right" w:pos="8640"/>
      </w:tabs>
      <w:spacing w:after="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00130DAF" w:rsidRDefault="00130DAF" w14:paraId="3845905F" w14:textId="77777777">
    <w:pPr>
      <w:pBdr>
        <w:top w:val="single" w:color="000000" w:sz="4" w:space="0"/>
      </w:pBdr>
      <w:tabs>
        <w:tab w:val="center" w:pos="4320"/>
        <w:tab w:val="right" w:pos="8640"/>
      </w:tabs>
      <w:spacing w:after="0"/>
      <w:jc w:val="center"/>
      <w:rPr>
        <w:rFonts w:ascii="Tahoma" w:hAnsi="Tahoma" w:eastAsia="Tahoma" w:cs="Tahoma"/>
        <w:sz w:val="18"/>
        <w:szCs w:val="18"/>
      </w:rPr>
    </w:pPr>
    <w:bookmarkStart w:name="_heading=h.320vgez" w:id="30"/>
    <w:bookmarkEnd w:id="3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0DAF" w:rsidRDefault="00130DAF" w14:paraId="50AFDFA2" w14:textId="77777777">
    <w:pPr>
      <w:tabs>
        <w:tab w:val="center" w:pos="4153"/>
        <w:tab w:val="right" w:pos="8306"/>
      </w:tabs>
      <w:spacing w:before="0" w:after="0"/>
      <w:rPr>
        <w:rFonts w:ascii="Tahoma" w:hAnsi="Tahoma" w:eastAsia="Tahoma" w:cs="Tahoma"/>
        <w:sz w:val="18"/>
        <w:szCs w:val="18"/>
      </w:rPr>
    </w:pPr>
  </w:p>
  <w:p w:rsidR="00130DAF" w:rsidRDefault="00130DAF" w14:paraId="06233C59" w14:textId="77777777">
    <w:pPr>
      <w:tabs>
        <w:tab w:val="center" w:pos="4153"/>
        <w:tab w:val="right" w:pos="8306"/>
      </w:tabs>
      <w:spacing w:before="0" w:after="0"/>
      <w:jc w:val="center"/>
      <w:rPr>
        <w:rFonts w:ascii="Tahoma" w:hAnsi="Tahoma" w:eastAsia="Tahoma" w:cs="Tahom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F399E" w:rsidRDefault="00FF399E" w14:paraId="23847F8E" w14:textId="77777777">
      <w:pPr>
        <w:spacing w:before="0" w:after="0"/>
      </w:pPr>
      <w:r>
        <w:separator/>
      </w:r>
    </w:p>
  </w:footnote>
  <w:footnote w:type="continuationSeparator" w:id="0">
    <w:p w:rsidR="00FF399E" w:rsidRDefault="00FF399E" w14:paraId="79CCE274"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0DAF" w:rsidRDefault="00130DAF" w14:paraId="2DBC81A9" w14:textId="77777777">
    <w:pPr>
      <w:pBdr>
        <w:top w:val="none" w:color="000000" w:sz="4" w:space="0"/>
        <w:left w:val="none" w:color="000000" w:sz="4" w:space="0"/>
        <w:bottom w:val="none" w:color="000000" w:sz="4" w:space="0"/>
        <w:right w:val="none" w:color="000000" w:sz="4" w:space="0"/>
        <w:between w:val="none" w:color="000000" w:sz="4" w:space="0"/>
      </w:pBdr>
      <w:tabs>
        <w:tab w:val="center" w:pos="4153"/>
        <w:tab w:val="right" w:pos="8306"/>
      </w:tabs>
      <w:spacing w:before="0" w:after="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130DAF" w:rsidRDefault="00130DAF" w14:paraId="72BB95AD" w14:textId="77777777">
    <w:pPr>
      <w:widowControl w:val="0"/>
      <w:pBdr>
        <w:top w:val="none" w:color="000000" w:sz="4" w:space="0"/>
        <w:left w:val="none" w:color="000000" w:sz="4" w:space="0"/>
        <w:bottom w:val="none" w:color="000000" w:sz="4" w:space="0"/>
        <w:right w:val="none" w:color="000000" w:sz="4" w:space="0"/>
        <w:between w:val="none" w:color="000000" w:sz="4" w:space="0"/>
      </w:pBdr>
      <w:spacing w:before="0" w:after="0" w:line="276" w:lineRule="auto"/>
      <w:jc w:val="left"/>
    </w:pPr>
  </w:p>
  <w:tbl>
    <w:tblPr>
      <w:tblStyle w:val="StGen10"/>
      <w:tblW w:w="9613"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908"/>
      <w:gridCol w:w="2072"/>
      <w:gridCol w:w="2271"/>
      <w:gridCol w:w="3362"/>
    </w:tblGrid>
    <w:tr w:rsidR="00130DAF" w14:paraId="55AA6E2B" w14:textId="77777777">
      <w:tc>
        <w:tcPr>
          <w:tcW w:w="3980" w:type="dxa"/>
          <w:gridSpan w:val="2"/>
          <w:tcMar>
            <w:top w:w="85" w:type="dxa"/>
            <w:bottom w:w="85" w:type="dxa"/>
          </w:tcMar>
          <w:vAlign w:val="center"/>
        </w:tcPr>
        <w:p w:rsidR="00130DAF" w:rsidRDefault="00FF399E" w14:paraId="216A109A" w14:textId="41883BC7">
          <w:pPr>
            <w:spacing w:before="0" w:after="0"/>
            <w:jc w:val="center"/>
          </w:pPr>
          <w:r>
            <w:rPr>
              <w:noProof/>
            </w:rPr>
            <mc:AlternateContent>
              <mc:Choice Requires="wpg">
                <w:drawing>
                  <wp:inline distT="0" distB="0" distL="0" distR="0" wp14:anchorId="123566ED" wp14:editId="07777777">
                    <wp:extent cx="1533525" cy="3619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70227141" name="image1.png"/>
                            <pic:cNvPicPr/>
                          </pic:nvPicPr>
                          <pic:blipFill rotWithShape="1">
                            <a:blip r:embed="rId1"/>
                            <a:srcRect/>
                            <a:stretch/>
                          </pic:blipFill>
                          <pic:spPr bwMode="auto">
                            <a:xfrm>
                              <a:off x="0" y="0"/>
                              <a:ext cx="1533524" cy="361949"/>
                            </a:xfrm>
                            <a:prstGeom prst="rect">
                              <a:avLst/>
                            </a:prstGeom>
                            <a:ln/>
                          </pic:spPr>
                        </pic:pic>
                      </a:graphicData>
                    </a:graphic>
                  </wp:inline>
                </w:drawing>
              </mc:Choice>
              <mc:Fallback xmlns:wp14="http://schemas.microsoft.com/office/word/2010/wordml" xmlns:pic="http://schemas.openxmlformats.org/drawingml/2006/picture" xmlns:a="http://schemas.openxmlformats.org/drawingml/2006/main">
                <w:pict w14:anchorId="1A3ED33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0" style="width:120.75pt;height:28.50pt;mso-wrap-distance-left:0.00pt;mso-wrap-distance-top:0.00pt;mso-wrap-distance-right:0.00pt;mso-wrap-distance-bottom:0.00pt;rotation:0;z-index:1;" o:spid="_x0000_s0" type="#_x0000_t75">
                    <v:imagedata cropleft="0f" croptop="0f" cropright="0f" cropbottom="0f" o:title="" r:id="rId2"/>
                    <o:lock v:ext="edit" rotation="t"/>
                  </v:shape>
                </w:pict>
              </mc:Fallback>
            </mc:AlternateContent>
          </w:r>
        </w:p>
      </w:tc>
      <w:tc>
        <w:tcPr>
          <w:tcW w:w="5633" w:type="dxa"/>
          <w:gridSpan w:val="2"/>
          <w:tcMar>
            <w:top w:w="85" w:type="dxa"/>
            <w:bottom w:w="85" w:type="dxa"/>
          </w:tcMar>
          <w:vAlign w:val="center"/>
        </w:tcPr>
        <w:p w:rsidR="00130DAF" w:rsidRDefault="00FF399E" w14:paraId="7D0B9612" w14:textId="77777777">
          <w:pPr>
            <w:spacing w:before="0" w:after="0"/>
            <w:jc w:val="center"/>
            <w:rPr>
              <w:rFonts w:ascii="Times New Roman" w:hAnsi="Times New Roman" w:eastAsia="Times New Roman" w:cs="Times New Roman"/>
              <w:b/>
              <w:sz w:val="40"/>
              <w:szCs w:val="40"/>
            </w:rPr>
          </w:pPr>
          <w:r>
            <w:rPr>
              <w:rFonts w:ascii="Times New Roman" w:hAnsi="Times New Roman" w:eastAsia="Times New Roman" w:cs="Times New Roman"/>
              <w:b/>
              <w:sz w:val="40"/>
              <w:szCs w:val="40"/>
            </w:rPr>
            <w:t>Secure Development Policy</w:t>
          </w:r>
        </w:p>
      </w:tc>
    </w:tr>
    <w:tr w:rsidR="00130DAF" w14:paraId="26BCC466" w14:textId="77777777">
      <w:tc>
        <w:tcPr>
          <w:tcW w:w="1908" w:type="dxa"/>
          <w:tcMar>
            <w:top w:w="85" w:type="dxa"/>
            <w:bottom w:w="85" w:type="dxa"/>
          </w:tcMar>
          <w:vAlign w:val="center"/>
        </w:tcPr>
        <w:p w:rsidR="00130DAF" w:rsidRDefault="00FF399E" w14:paraId="6759BAA3" w14:textId="77777777">
          <w:pPr>
            <w:spacing w:before="0" w:after="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No: 11</w:t>
          </w:r>
        </w:p>
      </w:tc>
      <w:tc>
        <w:tcPr>
          <w:tcW w:w="2072" w:type="dxa"/>
          <w:tcMar>
            <w:top w:w="85" w:type="dxa"/>
            <w:bottom w:w="85" w:type="dxa"/>
          </w:tcMar>
          <w:vAlign w:val="center"/>
        </w:tcPr>
        <w:p w:rsidR="00130DAF" w:rsidRDefault="00FF399E" w14:paraId="7859ED0E" w14:textId="77777777">
          <w:pPr>
            <w:spacing w:before="0" w:after="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Rev: 1.0</w:t>
          </w:r>
        </w:p>
      </w:tc>
      <w:tc>
        <w:tcPr>
          <w:tcW w:w="2271" w:type="dxa"/>
          <w:tcMar>
            <w:top w:w="85" w:type="dxa"/>
            <w:bottom w:w="85" w:type="dxa"/>
          </w:tcMar>
          <w:vAlign w:val="center"/>
        </w:tcPr>
        <w:p w:rsidR="00130DAF" w:rsidRDefault="00FF399E" w14:paraId="2CE83D3B" w14:textId="208FED3A">
          <w:pPr>
            <w:spacing w:before="0" w:after="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Date: 10/2/2026</w:t>
          </w:r>
        </w:p>
      </w:tc>
      <w:tc>
        <w:tcPr>
          <w:tcW w:w="3362" w:type="dxa"/>
          <w:vAlign w:val="center"/>
        </w:tcPr>
        <w:p w:rsidR="00130DAF" w:rsidRDefault="00FF399E" w14:paraId="6481BFBF" w14:textId="77777777">
          <w:pPr>
            <w:spacing w:before="0" w:after="0"/>
            <w:jc w:val="center"/>
            <w:rPr>
              <w:rFonts w:ascii="Times New Roman" w:hAnsi="Times New Roman" w:eastAsia="Times New Roman" w:cs="Times New Roman"/>
              <w:sz w:val="24"/>
              <w:szCs w:val="24"/>
            </w:rPr>
          </w:pPr>
          <w:r>
            <w:rPr>
              <w:rFonts w:ascii="Tahoma" w:hAnsi="Tahoma" w:eastAsia="Tahoma" w:cs="Tahoma"/>
              <w:sz w:val="18"/>
              <w:szCs w:val="18"/>
            </w:rPr>
            <w:t xml:space="preserve">Page </w:t>
          </w:r>
          <w:r>
            <w:rPr>
              <w:rFonts w:ascii="Tahoma" w:hAnsi="Tahoma" w:eastAsia="Tahoma" w:cs="Tahoma"/>
              <w:b/>
              <w:sz w:val="24"/>
              <w:szCs w:val="24"/>
            </w:rPr>
            <w:fldChar w:fldCharType="begin"/>
          </w:r>
          <w:r>
            <w:rPr>
              <w:rFonts w:ascii="Tahoma" w:hAnsi="Tahoma" w:eastAsia="Tahoma" w:cs="Tahoma"/>
              <w:b/>
              <w:sz w:val="24"/>
              <w:szCs w:val="24"/>
            </w:rPr>
            <w:instrText>PAGE</w:instrText>
          </w:r>
          <w:r>
            <w:rPr>
              <w:rFonts w:ascii="Tahoma" w:hAnsi="Tahoma" w:eastAsia="Tahoma" w:cs="Tahoma"/>
              <w:b/>
              <w:sz w:val="24"/>
              <w:szCs w:val="24"/>
            </w:rPr>
            <w:fldChar w:fldCharType="separate"/>
          </w:r>
          <w:r>
            <w:rPr>
              <w:rFonts w:ascii="Tahoma" w:hAnsi="Tahoma" w:eastAsia="Tahoma" w:cs="Tahoma"/>
              <w:b/>
              <w:sz w:val="24"/>
              <w:szCs w:val="24"/>
            </w:rPr>
            <w:t>2</w:t>
          </w:r>
          <w:r>
            <w:rPr>
              <w:rFonts w:ascii="Tahoma" w:hAnsi="Tahoma" w:eastAsia="Tahoma" w:cs="Tahoma"/>
              <w:b/>
              <w:sz w:val="24"/>
              <w:szCs w:val="24"/>
            </w:rPr>
            <w:fldChar w:fldCharType="end"/>
          </w:r>
          <w:r>
            <w:rPr>
              <w:rFonts w:ascii="Tahoma" w:hAnsi="Tahoma" w:eastAsia="Tahoma" w:cs="Tahoma"/>
              <w:sz w:val="18"/>
              <w:szCs w:val="18"/>
            </w:rPr>
            <w:t xml:space="preserve"> of </w:t>
          </w:r>
          <w:r>
            <w:rPr>
              <w:rFonts w:ascii="Tahoma" w:hAnsi="Tahoma" w:eastAsia="Tahoma" w:cs="Tahoma"/>
              <w:b/>
              <w:sz w:val="24"/>
              <w:szCs w:val="24"/>
            </w:rPr>
            <w:fldChar w:fldCharType="begin"/>
          </w:r>
          <w:r>
            <w:rPr>
              <w:rFonts w:ascii="Tahoma" w:hAnsi="Tahoma" w:eastAsia="Tahoma" w:cs="Tahoma"/>
              <w:b/>
              <w:sz w:val="24"/>
              <w:szCs w:val="24"/>
            </w:rPr>
            <w:instrText>NUMPAGES</w:instrText>
          </w:r>
          <w:r>
            <w:rPr>
              <w:rFonts w:ascii="Tahoma" w:hAnsi="Tahoma" w:eastAsia="Tahoma" w:cs="Tahoma"/>
              <w:b/>
              <w:sz w:val="24"/>
              <w:szCs w:val="24"/>
            </w:rPr>
            <w:fldChar w:fldCharType="separate"/>
          </w:r>
          <w:r>
            <w:rPr>
              <w:rFonts w:ascii="Tahoma" w:hAnsi="Tahoma" w:eastAsia="Tahoma" w:cs="Tahoma"/>
              <w:b/>
              <w:sz w:val="24"/>
              <w:szCs w:val="24"/>
            </w:rPr>
            <w:t>3</w:t>
          </w:r>
          <w:r>
            <w:rPr>
              <w:rFonts w:ascii="Tahoma" w:hAnsi="Tahoma" w:eastAsia="Tahoma" w:cs="Tahoma"/>
              <w:b/>
              <w:sz w:val="24"/>
              <w:szCs w:val="24"/>
            </w:rPr>
            <w:fldChar w:fldCharType="end"/>
          </w:r>
        </w:p>
      </w:tc>
    </w:tr>
  </w:tbl>
  <w:p w:rsidR="00130DAF" w:rsidRDefault="00130DAF" w14:paraId="58CA2E8A" w14:textId="77777777">
    <w:pPr>
      <w:pBdr>
        <w:top w:val="none" w:color="000000" w:sz="4" w:space="0"/>
        <w:left w:val="none" w:color="000000" w:sz="4" w:space="0"/>
        <w:bottom w:val="none" w:color="000000" w:sz="4" w:space="0"/>
        <w:right w:val="none" w:color="000000" w:sz="4" w:space="0"/>
        <w:between w:val="none" w:color="000000" w:sz="4" w:space="0"/>
      </w:pBdr>
      <w:tabs>
        <w:tab w:val="left" w:pos="420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130DAF" w:rsidRDefault="00FF399E" w14:paraId="70B6784D" w14:textId="06A0D1E4">
    <w:pPr>
      <w:pBdr>
        <w:top w:val="none" w:color="000000" w:sz="4" w:space="0"/>
        <w:left w:val="none" w:color="000000" w:sz="4" w:space="0"/>
        <w:bottom w:val="none" w:color="000000" w:sz="4" w:space="0"/>
        <w:right w:val="none" w:color="000000" w:sz="4" w:space="0"/>
        <w:between w:val="none" w:color="000000" w:sz="4" w:space="0"/>
      </w:pBdr>
      <w:tabs>
        <w:tab w:val="center" w:pos="4153"/>
        <w:tab w:val="right" w:pos="8306"/>
      </w:tabs>
      <w:spacing w:before="0" w:after="0"/>
      <w:jc w:val="left"/>
    </w:pPr>
    <w:r>
      <w:rPr>
        <w:noProof/>
      </w:rPr>
      <mc:AlternateContent>
        <mc:Choice Requires="wpg">
          <w:drawing>
            <wp:inline distT="0" distB="0" distL="0" distR="0" wp14:anchorId="7E90F9E2" wp14:editId="07777777">
              <wp:extent cx="1533525" cy="36195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70227141" name="image1.png"/>
                      <pic:cNvPicPr/>
                    </pic:nvPicPr>
                    <pic:blipFill rotWithShape="1">
                      <a:blip r:embed="rId1"/>
                      <a:srcRect/>
                      <a:stretch/>
                    </pic:blipFill>
                    <pic:spPr bwMode="auto">
                      <a:xfrm>
                        <a:off x="0" y="0"/>
                        <a:ext cx="1533524" cy="361949"/>
                      </a:xfrm>
                      <a:prstGeom prst="rect">
                        <a:avLst/>
                      </a:prstGeom>
                      <a:ln/>
                    </pic:spPr>
                  </pic:pic>
                </a:graphicData>
              </a:graphic>
            </wp:inline>
          </w:drawing>
        </mc:Choice>
        <mc:Fallback xmlns:pic="http://schemas.openxmlformats.org/drawingml/2006/picture" xmlns:a="http://schemas.openxmlformats.org/drawingml/2006/main">
          <w:pict w14:anchorId="252A207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 style="width:120.75pt;height:28.50pt;mso-wrap-distance-left:0.00pt;mso-wrap-distance-top:0.00pt;mso-wrap-distance-right:0.00pt;mso-wrap-distance-bottom:0.00pt;rotation:0;z-index:1;" o:spid="_x0000_s1" type="#_x0000_t75">
              <v:imagedata cropleft="0f" croptop="0f" cropright="0f" cropbottom="0f" o:title="" r:id="rId2"/>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D468C"/>
    <w:multiLevelType w:val="multilevel"/>
    <w:tmpl w:val="FFFFFFFF"/>
    <w:lvl w:ilvl="0">
      <w:start w:val="1"/>
      <w:numFmt w:val="bullet"/>
      <w:lvlText w:val="·"/>
      <w:lvlJc w:val="left"/>
      <w:pPr>
        <w:ind w:left="720" w:hanging="360"/>
      </w:pPr>
      <w:rPr>
        <w:rFonts w:hint="default" w:ascii="Symbol" w:hAnsi="Symbol" w:eastAsia="Symbol" w:cs="Symbol"/>
      </w:rPr>
    </w:lvl>
    <w:lvl w:ilvl="1">
      <w:start w:val="1"/>
      <w:numFmt w:val="bullet"/>
      <w:lvlText w:val="o"/>
      <w:lvlJc w:val="left"/>
      <w:pPr>
        <w:ind w:left="1440" w:hanging="360"/>
      </w:pPr>
      <w:rPr>
        <w:rFonts w:hint="default" w:ascii="Courier New" w:hAnsi="Courier New" w:eastAsia="Courier New" w:cs="Courier New"/>
      </w:rPr>
    </w:lvl>
    <w:lvl w:ilvl="2">
      <w:start w:val="1"/>
      <w:numFmt w:val="bullet"/>
      <w:lvlText w:val="§"/>
      <w:lvlJc w:val="left"/>
      <w:pPr>
        <w:ind w:left="2160" w:hanging="360"/>
      </w:pPr>
      <w:rPr>
        <w:rFonts w:hint="default" w:ascii="Wingdings" w:hAnsi="Wingdings" w:eastAsia="Wingdings" w:cs="Wingdings"/>
      </w:rPr>
    </w:lvl>
    <w:lvl w:ilvl="3">
      <w:start w:val="1"/>
      <w:numFmt w:val="bullet"/>
      <w:lvlText w:val="·"/>
      <w:lvlJc w:val="left"/>
      <w:pPr>
        <w:ind w:left="2880" w:hanging="360"/>
      </w:pPr>
      <w:rPr>
        <w:rFonts w:hint="default" w:ascii="Symbol" w:hAnsi="Symbol" w:eastAsia="Symbol" w:cs="Symbol"/>
      </w:rPr>
    </w:lvl>
    <w:lvl w:ilvl="4">
      <w:start w:val="1"/>
      <w:numFmt w:val="bullet"/>
      <w:lvlText w:val="o"/>
      <w:lvlJc w:val="left"/>
      <w:pPr>
        <w:ind w:left="3600" w:hanging="360"/>
      </w:pPr>
      <w:rPr>
        <w:rFonts w:hint="default" w:ascii="Courier New" w:hAnsi="Courier New" w:eastAsia="Courier New" w:cs="Courier New"/>
      </w:rPr>
    </w:lvl>
    <w:lvl w:ilvl="5">
      <w:start w:val="1"/>
      <w:numFmt w:val="bullet"/>
      <w:lvlText w:val="§"/>
      <w:lvlJc w:val="left"/>
      <w:pPr>
        <w:ind w:left="4320" w:hanging="360"/>
      </w:pPr>
      <w:rPr>
        <w:rFonts w:hint="default" w:ascii="Wingdings" w:hAnsi="Wingdings" w:eastAsia="Wingdings" w:cs="Wingdings"/>
      </w:rPr>
    </w:lvl>
    <w:lvl w:ilvl="6">
      <w:start w:val="1"/>
      <w:numFmt w:val="bullet"/>
      <w:lvlText w:val="·"/>
      <w:lvlJc w:val="left"/>
      <w:pPr>
        <w:ind w:left="5040" w:hanging="360"/>
      </w:pPr>
      <w:rPr>
        <w:rFonts w:hint="default" w:ascii="Symbol" w:hAnsi="Symbol" w:eastAsia="Symbol" w:cs="Symbol"/>
      </w:rPr>
    </w:lvl>
    <w:lvl w:ilvl="7">
      <w:start w:val="1"/>
      <w:numFmt w:val="bullet"/>
      <w:lvlText w:val="o"/>
      <w:lvlJc w:val="left"/>
      <w:pPr>
        <w:ind w:left="5760" w:hanging="360"/>
      </w:pPr>
      <w:rPr>
        <w:rFonts w:hint="default" w:ascii="Courier New" w:hAnsi="Courier New" w:eastAsia="Courier New" w:cs="Courier New"/>
      </w:rPr>
    </w:lvl>
    <w:lvl w:ilvl="8">
      <w:start w:val="1"/>
      <w:numFmt w:val="bullet"/>
      <w:lvlText w:val="§"/>
      <w:lvlJc w:val="left"/>
      <w:pPr>
        <w:ind w:left="6480" w:hanging="360"/>
      </w:pPr>
      <w:rPr>
        <w:rFonts w:hint="default" w:ascii="Wingdings" w:hAnsi="Wingdings" w:eastAsia="Wingdings" w:cs="Wingdings"/>
      </w:rPr>
    </w:lvl>
  </w:abstractNum>
  <w:abstractNum w:abstractNumId="1" w15:restartNumberingAfterBreak="0">
    <w:nsid w:val="0ABA4396"/>
    <w:multiLevelType w:val="hybridMultilevel"/>
    <w:tmpl w:val="FFFFFFFF"/>
    <w:lvl w:ilvl="0" w:tplc="F432C940">
      <w:start w:val="1"/>
      <w:numFmt w:val="decimal"/>
      <w:lvlText w:val="%1."/>
      <w:lvlJc w:val="left"/>
      <w:pPr>
        <w:ind w:left="720" w:hanging="360"/>
      </w:pPr>
    </w:lvl>
    <w:lvl w:ilvl="1" w:tplc="3780ABD0">
      <w:start w:val="1"/>
      <w:numFmt w:val="lowerLetter"/>
      <w:lvlText w:val="%2."/>
      <w:lvlJc w:val="left"/>
      <w:pPr>
        <w:ind w:left="1440" w:hanging="360"/>
      </w:pPr>
    </w:lvl>
    <w:lvl w:ilvl="2" w:tplc="C88C287A">
      <w:start w:val="1"/>
      <w:numFmt w:val="lowerRoman"/>
      <w:lvlText w:val="%3."/>
      <w:lvlJc w:val="right"/>
      <w:pPr>
        <w:ind w:left="2160" w:hanging="180"/>
      </w:pPr>
    </w:lvl>
    <w:lvl w:ilvl="3" w:tplc="15166E16">
      <w:start w:val="1"/>
      <w:numFmt w:val="decimal"/>
      <w:lvlText w:val="%4."/>
      <w:lvlJc w:val="left"/>
      <w:pPr>
        <w:ind w:left="2880" w:hanging="360"/>
      </w:pPr>
    </w:lvl>
    <w:lvl w:ilvl="4" w:tplc="D6A636BC">
      <w:start w:val="1"/>
      <w:numFmt w:val="lowerLetter"/>
      <w:lvlText w:val="%5."/>
      <w:lvlJc w:val="left"/>
      <w:pPr>
        <w:ind w:left="3600" w:hanging="360"/>
      </w:pPr>
    </w:lvl>
    <w:lvl w:ilvl="5" w:tplc="215AF27E">
      <w:start w:val="1"/>
      <w:numFmt w:val="lowerRoman"/>
      <w:lvlText w:val="%6."/>
      <w:lvlJc w:val="right"/>
      <w:pPr>
        <w:ind w:left="4320" w:hanging="180"/>
      </w:pPr>
    </w:lvl>
    <w:lvl w:ilvl="6" w:tplc="6A884496">
      <w:start w:val="1"/>
      <w:numFmt w:val="decimal"/>
      <w:lvlText w:val="%7."/>
      <w:lvlJc w:val="left"/>
      <w:pPr>
        <w:ind w:left="5040" w:hanging="360"/>
      </w:pPr>
    </w:lvl>
    <w:lvl w:ilvl="7" w:tplc="87F0A5F4">
      <w:start w:val="1"/>
      <w:numFmt w:val="lowerLetter"/>
      <w:lvlText w:val="%8."/>
      <w:lvlJc w:val="left"/>
      <w:pPr>
        <w:ind w:left="5760" w:hanging="360"/>
      </w:pPr>
    </w:lvl>
    <w:lvl w:ilvl="8" w:tplc="0D84D4BE">
      <w:start w:val="1"/>
      <w:numFmt w:val="lowerRoman"/>
      <w:lvlText w:val="%9."/>
      <w:lvlJc w:val="right"/>
      <w:pPr>
        <w:ind w:left="6480" w:hanging="180"/>
      </w:pPr>
    </w:lvl>
  </w:abstractNum>
  <w:abstractNum w:abstractNumId="2" w15:restartNumberingAfterBreak="0">
    <w:nsid w:val="0BD12A0B"/>
    <w:multiLevelType w:val="hybridMultilevel"/>
    <w:tmpl w:val="FFFFFFFF"/>
    <w:lvl w:ilvl="0" w:tplc="DE40E022">
      <w:start w:val="1"/>
      <w:numFmt w:val="bullet"/>
      <w:lvlText w:val=""/>
      <w:lvlJc w:val="left"/>
      <w:pPr>
        <w:ind w:left="720" w:hanging="360"/>
      </w:pPr>
      <w:rPr>
        <w:rFonts w:hint="default" w:ascii="Symbol" w:hAnsi="Symbol"/>
      </w:rPr>
    </w:lvl>
    <w:lvl w:ilvl="1" w:tplc="FFE8EBC8">
      <w:start w:val="1"/>
      <w:numFmt w:val="bullet"/>
      <w:lvlText w:val="o"/>
      <w:lvlJc w:val="left"/>
      <w:pPr>
        <w:ind w:left="1440" w:hanging="360"/>
      </w:pPr>
      <w:rPr>
        <w:rFonts w:hint="default" w:ascii="Courier New" w:hAnsi="Courier New"/>
      </w:rPr>
    </w:lvl>
    <w:lvl w:ilvl="2" w:tplc="E3DABD0C">
      <w:start w:val="1"/>
      <w:numFmt w:val="bullet"/>
      <w:lvlText w:val=""/>
      <w:lvlJc w:val="left"/>
      <w:pPr>
        <w:ind w:left="2160" w:hanging="360"/>
      </w:pPr>
      <w:rPr>
        <w:rFonts w:hint="default" w:ascii="Wingdings" w:hAnsi="Wingdings"/>
      </w:rPr>
    </w:lvl>
    <w:lvl w:ilvl="3" w:tplc="1532928E">
      <w:start w:val="1"/>
      <w:numFmt w:val="bullet"/>
      <w:lvlText w:val=""/>
      <w:lvlJc w:val="left"/>
      <w:pPr>
        <w:ind w:left="2880" w:hanging="360"/>
      </w:pPr>
      <w:rPr>
        <w:rFonts w:hint="default" w:ascii="Symbol" w:hAnsi="Symbol"/>
      </w:rPr>
    </w:lvl>
    <w:lvl w:ilvl="4" w:tplc="DD1ACEA6">
      <w:start w:val="1"/>
      <w:numFmt w:val="bullet"/>
      <w:lvlText w:val="o"/>
      <w:lvlJc w:val="left"/>
      <w:pPr>
        <w:ind w:left="3600" w:hanging="360"/>
      </w:pPr>
      <w:rPr>
        <w:rFonts w:hint="default" w:ascii="Courier New" w:hAnsi="Courier New"/>
      </w:rPr>
    </w:lvl>
    <w:lvl w:ilvl="5" w:tplc="461AC15E">
      <w:start w:val="1"/>
      <w:numFmt w:val="bullet"/>
      <w:lvlText w:val=""/>
      <w:lvlJc w:val="left"/>
      <w:pPr>
        <w:ind w:left="4320" w:hanging="360"/>
      </w:pPr>
      <w:rPr>
        <w:rFonts w:hint="default" w:ascii="Wingdings" w:hAnsi="Wingdings"/>
      </w:rPr>
    </w:lvl>
    <w:lvl w:ilvl="6" w:tplc="C5AE210C">
      <w:start w:val="1"/>
      <w:numFmt w:val="bullet"/>
      <w:lvlText w:val=""/>
      <w:lvlJc w:val="left"/>
      <w:pPr>
        <w:ind w:left="5040" w:hanging="360"/>
      </w:pPr>
      <w:rPr>
        <w:rFonts w:hint="default" w:ascii="Symbol" w:hAnsi="Symbol"/>
      </w:rPr>
    </w:lvl>
    <w:lvl w:ilvl="7" w:tplc="276E2430">
      <w:start w:val="1"/>
      <w:numFmt w:val="bullet"/>
      <w:lvlText w:val="o"/>
      <w:lvlJc w:val="left"/>
      <w:pPr>
        <w:ind w:left="5760" w:hanging="360"/>
      </w:pPr>
      <w:rPr>
        <w:rFonts w:hint="default" w:ascii="Courier New" w:hAnsi="Courier New"/>
      </w:rPr>
    </w:lvl>
    <w:lvl w:ilvl="8" w:tplc="9426E35A">
      <w:start w:val="1"/>
      <w:numFmt w:val="bullet"/>
      <w:lvlText w:val=""/>
      <w:lvlJc w:val="left"/>
      <w:pPr>
        <w:ind w:left="6480" w:hanging="360"/>
      </w:pPr>
      <w:rPr>
        <w:rFonts w:hint="default" w:ascii="Wingdings" w:hAnsi="Wingdings"/>
      </w:rPr>
    </w:lvl>
  </w:abstractNum>
  <w:abstractNum w:abstractNumId="3" w15:restartNumberingAfterBreak="0">
    <w:nsid w:val="0C2CC080"/>
    <w:multiLevelType w:val="multilevel"/>
    <w:tmpl w:val="FFFFFFFF"/>
    <w:lvl w:ilvl="0">
      <w:start w:val="1"/>
      <w:numFmt w:val="bullet"/>
      <w:lvlText w:val="·"/>
      <w:lvlJc w:val="left"/>
      <w:pPr>
        <w:ind w:left="709" w:hanging="360"/>
      </w:pPr>
      <w:rPr>
        <w:rFonts w:hint="default" w:ascii="Symbol" w:hAnsi="Symbol" w:eastAsia="Symbol" w:cs="Symbol"/>
      </w:rPr>
    </w:lvl>
    <w:lvl w:ilvl="1">
      <w:start w:val="1"/>
      <w:numFmt w:val="bullet"/>
      <w:lvlText w:val="o"/>
      <w:lvlJc w:val="left"/>
      <w:pPr>
        <w:ind w:left="1429" w:hanging="360"/>
      </w:pPr>
      <w:rPr>
        <w:rFonts w:hint="default" w:ascii="Courier New" w:hAnsi="Courier New" w:eastAsia="Courier New" w:cs="Courier New"/>
      </w:rPr>
    </w:lvl>
    <w:lvl w:ilvl="2">
      <w:start w:val="1"/>
      <w:numFmt w:val="bullet"/>
      <w:lvlText w:val="§"/>
      <w:lvlJc w:val="left"/>
      <w:pPr>
        <w:ind w:left="2149" w:hanging="360"/>
      </w:pPr>
      <w:rPr>
        <w:rFonts w:hint="default" w:ascii="Wingdings" w:hAnsi="Wingdings" w:eastAsia="Wingdings" w:cs="Wingdings"/>
      </w:rPr>
    </w:lvl>
    <w:lvl w:ilvl="3">
      <w:start w:val="1"/>
      <w:numFmt w:val="bullet"/>
      <w:lvlText w:val="·"/>
      <w:lvlJc w:val="left"/>
      <w:pPr>
        <w:ind w:left="2869" w:hanging="360"/>
      </w:pPr>
      <w:rPr>
        <w:rFonts w:hint="default" w:ascii="Symbol" w:hAnsi="Symbol" w:eastAsia="Symbol" w:cs="Symbol"/>
      </w:rPr>
    </w:lvl>
    <w:lvl w:ilvl="4">
      <w:start w:val="1"/>
      <w:numFmt w:val="bullet"/>
      <w:lvlText w:val="o"/>
      <w:lvlJc w:val="left"/>
      <w:pPr>
        <w:ind w:left="3589" w:hanging="360"/>
      </w:pPr>
      <w:rPr>
        <w:rFonts w:hint="default" w:ascii="Courier New" w:hAnsi="Courier New" w:eastAsia="Courier New" w:cs="Courier New"/>
      </w:rPr>
    </w:lvl>
    <w:lvl w:ilvl="5">
      <w:start w:val="1"/>
      <w:numFmt w:val="bullet"/>
      <w:lvlText w:val="§"/>
      <w:lvlJc w:val="left"/>
      <w:pPr>
        <w:ind w:left="4309" w:hanging="360"/>
      </w:pPr>
      <w:rPr>
        <w:rFonts w:hint="default" w:ascii="Wingdings" w:hAnsi="Wingdings" w:eastAsia="Wingdings" w:cs="Wingdings"/>
      </w:rPr>
    </w:lvl>
    <w:lvl w:ilvl="6">
      <w:start w:val="1"/>
      <w:numFmt w:val="bullet"/>
      <w:lvlText w:val="·"/>
      <w:lvlJc w:val="left"/>
      <w:pPr>
        <w:ind w:left="5029" w:hanging="360"/>
      </w:pPr>
      <w:rPr>
        <w:rFonts w:hint="default" w:ascii="Symbol" w:hAnsi="Symbol" w:eastAsia="Symbol" w:cs="Symbol"/>
      </w:rPr>
    </w:lvl>
    <w:lvl w:ilvl="7">
      <w:start w:val="1"/>
      <w:numFmt w:val="bullet"/>
      <w:lvlText w:val="o"/>
      <w:lvlJc w:val="left"/>
      <w:pPr>
        <w:ind w:left="5749" w:hanging="360"/>
      </w:pPr>
      <w:rPr>
        <w:rFonts w:hint="default" w:ascii="Courier New" w:hAnsi="Courier New" w:eastAsia="Courier New" w:cs="Courier New"/>
      </w:rPr>
    </w:lvl>
    <w:lvl w:ilvl="8">
      <w:start w:val="1"/>
      <w:numFmt w:val="bullet"/>
      <w:lvlText w:val="§"/>
      <w:lvlJc w:val="left"/>
      <w:pPr>
        <w:ind w:left="6469" w:hanging="360"/>
      </w:pPr>
      <w:rPr>
        <w:rFonts w:hint="default" w:ascii="Wingdings" w:hAnsi="Wingdings" w:eastAsia="Wingdings" w:cs="Wingdings"/>
      </w:rPr>
    </w:lvl>
  </w:abstractNum>
  <w:abstractNum w:abstractNumId="4" w15:restartNumberingAfterBreak="0">
    <w:nsid w:val="0FAA2033"/>
    <w:multiLevelType w:val="multilevel"/>
    <w:tmpl w:val="FFFFFFFF"/>
    <w:lvl w:ilvl="0">
      <w:start w:val="1"/>
      <w:numFmt w:val="decimal"/>
      <w:lvlText w:val="%1"/>
      <w:lvlJc w:val="left"/>
      <w:pPr>
        <w:ind w:left="405" w:hanging="405"/>
      </w:pPr>
    </w:lvl>
    <w:lvl w:ilvl="1">
      <w:start w:val="1"/>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18DB1C9F"/>
    <w:multiLevelType w:val="multilevel"/>
    <w:tmpl w:val="FFFFFFFF"/>
    <w:lvl w:ilvl="0">
      <w:start w:val="1"/>
      <w:numFmt w:val="decimal"/>
      <w:lvlText w:val="%1."/>
      <w:lvlJc w:val="left"/>
      <w:pPr>
        <w:ind w:left="720"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6" w15:restartNumberingAfterBreak="0">
    <w:nsid w:val="1A6DDB53"/>
    <w:multiLevelType w:val="multilevel"/>
    <w:tmpl w:val="FFFFFFFF"/>
    <w:lvl w:ilvl="0">
      <w:start w:val="1"/>
      <w:numFmt w:val="bullet"/>
      <w:lvlText w:val="·"/>
      <w:lvlJc w:val="left"/>
      <w:pPr>
        <w:ind w:left="720" w:hanging="360"/>
      </w:pPr>
      <w:rPr>
        <w:rFonts w:hint="default" w:ascii="Symbol" w:hAnsi="Symbol" w:eastAsia="Symbol" w:cs="Symbol"/>
      </w:rPr>
    </w:lvl>
    <w:lvl w:ilvl="1">
      <w:start w:val="1"/>
      <w:numFmt w:val="bullet"/>
      <w:lvlText w:val="o"/>
      <w:lvlJc w:val="left"/>
      <w:pPr>
        <w:ind w:left="1440" w:hanging="360"/>
      </w:pPr>
      <w:rPr>
        <w:rFonts w:hint="default" w:ascii="Courier New" w:hAnsi="Courier New" w:eastAsia="Courier New" w:cs="Courier New"/>
      </w:rPr>
    </w:lvl>
    <w:lvl w:ilvl="2">
      <w:start w:val="1"/>
      <w:numFmt w:val="bullet"/>
      <w:lvlText w:val="§"/>
      <w:lvlJc w:val="left"/>
      <w:pPr>
        <w:ind w:left="2160" w:hanging="360"/>
      </w:pPr>
      <w:rPr>
        <w:rFonts w:hint="default" w:ascii="Wingdings" w:hAnsi="Wingdings" w:eastAsia="Wingdings" w:cs="Wingdings"/>
      </w:rPr>
    </w:lvl>
    <w:lvl w:ilvl="3">
      <w:start w:val="1"/>
      <w:numFmt w:val="bullet"/>
      <w:lvlText w:val="·"/>
      <w:lvlJc w:val="left"/>
      <w:pPr>
        <w:ind w:left="2880" w:hanging="360"/>
      </w:pPr>
      <w:rPr>
        <w:rFonts w:hint="default" w:ascii="Symbol" w:hAnsi="Symbol" w:eastAsia="Symbol" w:cs="Symbol"/>
      </w:rPr>
    </w:lvl>
    <w:lvl w:ilvl="4">
      <w:start w:val="1"/>
      <w:numFmt w:val="bullet"/>
      <w:lvlText w:val="o"/>
      <w:lvlJc w:val="left"/>
      <w:pPr>
        <w:ind w:left="3600" w:hanging="360"/>
      </w:pPr>
      <w:rPr>
        <w:rFonts w:hint="default" w:ascii="Courier New" w:hAnsi="Courier New" w:eastAsia="Courier New" w:cs="Courier New"/>
      </w:rPr>
    </w:lvl>
    <w:lvl w:ilvl="5">
      <w:start w:val="1"/>
      <w:numFmt w:val="bullet"/>
      <w:lvlText w:val="§"/>
      <w:lvlJc w:val="left"/>
      <w:pPr>
        <w:ind w:left="4320" w:hanging="360"/>
      </w:pPr>
      <w:rPr>
        <w:rFonts w:hint="default" w:ascii="Wingdings" w:hAnsi="Wingdings" w:eastAsia="Wingdings" w:cs="Wingdings"/>
      </w:rPr>
    </w:lvl>
    <w:lvl w:ilvl="6">
      <w:start w:val="1"/>
      <w:numFmt w:val="bullet"/>
      <w:lvlText w:val="·"/>
      <w:lvlJc w:val="left"/>
      <w:pPr>
        <w:ind w:left="5040" w:hanging="360"/>
      </w:pPr>
      <w:rPr>
        <w:rFonts w:hint="default" w:ascii="Symbol" w:hAnsi="Symbol" w:eastAsia="Symbol" w:cs="Symbol"/>
      </w:rPr>
    </w:lvl>
    <w:lvl w:ilvl="7">
      <w:start w:val="1"/>
      <w:numFmt w:val="bullet"/>
      <w:lvlText w:val="o"/>
      <w:lvlJc w:val="left"/>
      <w:pPr>
        <w:ind w:left="5760" w:hanging="360"/>
      </w:pPr>
      <w:rPr>
        <w:rFonts w:hint="default" w:ascii="Courier New" w:hAnsi="Courier New" w:eastAsia="Courier New" w:cs="Courier New"/>
      </w:rPr>
    </w:lvl>
    <w:lvl w:ilvl="8">
      <w:start w:val="1"/>
      <w:numFmt w:val="bullet"/>
      <w:lvlText w:val="§"/>
      <w:lvlJc w:val="left"/>
      <w:pPr>
        <w:ind w:left="6480" w:hanging="360"/>
      </w:pPr>
      <w:rPr>
        <w:rFonts w:hint="default" w:ascii="Wingdings" w:hAnsi="Wingdings" w:eastAsia="Wingdings" w:cs="Wingdings"/>
      </w:rPr>
    </w:lvl>
  </w:abstractNum>
  <w:abstractNum w:abstractNumId="7" w15:restartNumberingAfterBreak="0">
    <w:nsid w:val="21091C47"/>
    <w:multiLevelType w:val="multilevel"/>
    <w:tmpl w:val="FFFFFFFF"/>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15:restartNumberingAfterBreak="0">
    <w:nsid w:val="23E1A0CE"/>
    <w:multiLevelType w:val="multilevel"/>
    <w:tmpl w:val="FFFFFFFF"/>
    <w:lvl w:ilvl="0">
      <w:start w:val="1"/>
      <w:numFmt w:val="bullet"/>
      <w:lvlText w:val="·"/>
      <w:lvlJc w:val="left"/>
      <w:pPr>
        <w:ind w:left="709" w:hanging="360"/>
      </w:pPr>
      <w:rPr>
        <w:rFonts w:hint="default" w:ascii="Symbol" w:hAnsi="Symbol" w:eastAsia="Symbol" w:cs="Symbol"/>
      </w:rPr>
    </w:lvl>
    <w:lvl w:ilvl="1">
      <w:start w:val="1"/>
      <w:numFmt w:val="bullet"/>
      <w:lvlText w:val="o"/>
      <w:lvlJc w:val="left"/>
      <w:pPr>
        <w:ind w:left="1429" w:hanging="360"/>
      </w:pPr>
      <w:rPr>
        <w:rFonts w:hint="default" w:ascii="Courier New" w:hAnsi="Courier New" w:eastAsia="Courier New" w:cs="Courier New"/>
      </w:rPr>
    </w:lvl>
    <w:lvl w:ilvl="2">
      <w:start w:val="1"/>
      <w:numFmt w:val="bullet"/>
      <w:lvlText w:val="§"/>
      <w:lvlJc w:val="left"/>
      <w:pPr>
        <w:ind w:left="2149" w:hanging="360"/>
      </w:pPr>
      <w:rPr>
        <w:rFonts w:hint="default" w:ascii="Wingdings" w:hAnsi="Wingdings" w:eastAsia="Wingdings" w:cs="Wingdings"/>
      </w:rPr>
    </w:lvl>
    <w:lvl w:ilvl="3">
      <w:start w:val="1"/>
      <w:numFmt w:val="bullet"/>
      <w:lvlText w:val="·"/>
      <w:lvlJc w:val="left"/>
      <w:pPr>
        <w:ind w:left="2869" w:hanging="360"/>
      </w:pPr>
      <w:rPr>
        <w:rFonts w:hint="default" w:ascii="Symbol" w:hAnsi="Symbol" w:eastAsia="Symbol" w:cs="Symbol"/>
      </w:rPr>
    </w:lvl>
    <w:lvl w:ilvl="4">
      <w:start w:val="1"/>
      <w:numFmt w:val="bullet"/>
      <w:lvlText w:val="o"/>
      <w:lvlJc w:val="left"/>
      <w:pPr>
        <w:ind w:left="3589" w:hanging="360"/>
      </w:pPr>
      <w:rPr>
        <w:rFonts w:hint="default" w:ascii="Courier New" w:hAnsi="Courier New" w:eastAsia="Courier New" w:cs="Courier New"/>
      </w:rPr>
    </w:lvl>
    <w:lvl w:ilvl="5">
      <w:start w:val="1"/>
      <w:numFmt w:val="bullet"/>
      <w:lvlText w:val="§"/>
      <w:lvlJc w:val="left"/>
      <w:pPr>
        <w:ind w:left="4309" w:hanging="360"/>
      </w:pPr>
      <w:rPr>
        <w:rFonts w:hint="default" w:ascii="Wingdings" w:hAnsi="Wingdings" w:eastAsia="Wingdings" w:cs="Wingdings"/>
      </w:rPr>
    </w:lvl>
    <w:lvl w:ilvl="6">
      <w:start w:val="1"/>
      <w:numFmt w:val="bullet"/>
      <w:lvlText w:val="·"/>
      <w:lvlJc w:val="left"/>
      <w:pPr>
        <w:ind w:left="5029" w:hanging="360"/>
      </w:pPr>
      <w:rPr>
        <w:rFonts w:hint="default" w:ascii="Symbol" w:hAnsi="Symbol" w:eastAsia="Symbol" w:cs="Symbol"/>
      </w:rPr>
    </w:lvl>
    <w:lvl w:ilvl="7">
      <w:start w:val="1"/>
      <w:numFmt w:val="bullet"/>
      <w:lvlText w:val="o"/>
      <w:lvlJc w:val="left"/>
      <w:pPr>
        <w:ind w:left="5749" w:hanging="360"/>
      </w:pPr>
      <w:rPr>
        <w:rFonts w:hint="default" w:ascii="Courier New" w:hAnsi="Courier New" w:eastAsia="Courier New" w:cs="Courier New"/>
      </w:rPr>
    </w:lvl>
    <w:lvl w:ilvl="8">
      <w:start w:val="1"/>
      <w:numFmt w:val="bullet"/>
      <w:lvlText w:val="§"/>
      <w:lvlJc w:val="left"/>
      <w:pPr>
        <w:ind w:left="6469" w:hanging="360"/>
      </w:pPr>
      <w:rPr>
        <w:rFonts w:hint="default" w:ascii="Wingdings" w:hAnsi="Wingdings" w:eastAsia="Wingdings" w:cs="Wingdings"/>
      </w:rPr>
    </w:lvl>
  </w:abstractNum>
  <w:abstractNum w:abstractNumId="9" w15:restartNumberingAfterBreak="0">
    <w:nsid w:val="2AAE8E5F"/>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307C672A"/>
    <w:multiLevelType w:val="hybridMultilevel"/>
    <w:tmpl w:val="FFFFFFFF"/>
    <w:lvl w:ilvl="0" w:tplc="EAF45042">
      <w:start w:val="1"/>
      <w:numFmt w:val="bullet"/>
      <w:lvlText w:val=""/>
      <w:lvlJc w:val="left"/>
      <w:pPr>
        <w:ind w:left="720" w:hanging="360"/>
      </w:pPr>
      <w:rPr>
        <w:rFonts w:hint="default" w:ascii="Symbol" w:hAnsi="Symbol"/>
      </w:rPr>
    </w:lvl>
    <w:lvl w:ilvl="1" w:tplc="4DA04BA6">
      <w:start w:val="1"/>
      <w:numFmt w:val="bullet"/>
      <w:lvlText w:val="o"/>
      <w:lvlJc w:val="left"/>
      <w:pPr>
        <w:ind w:left="1440" w:hanging="360"/>
      </w:pPr>
      <w:rPr>
        <w:rFonts w:hint="default" w:ascii="Courier New" w:hAnsi="Courier New"/>
      </w:rPr>
    </w:lvl>
    <w:lvl w:ilvl="2" w:tplc="938619BC">
      <w:start w:val="1"/>
      <w:numFmt w:val="bullet"/>
      <w:lvlText w:val=""/>
      <w:lvlJc w:val="left"/>
      <w:pPr>
        <w:ind w:left="2160" w:hanging="360"/>
      </w:pPr>
      <w:rPr>
        <w:rFonts w:hint="default" w:ascii="Wingdings" w:hAnsi="Wingdings"/>
      </w:rPr>
    </w:lvl>
    <w:lvl w:ilvl="3" w:tplc="BB543796">
      <w:start w:val="1"/>
      <w:numFmt w:val="bullet"/>
      <w:lvlText w:val=""/>
      <w:lvlJc w:val="left"/>
      <w:pPr>
        <w:ind w:left="2880" w:hanging="360"/>
      </w:pPr>
      <w:rPr>
        <w:rFonts w:hint="default" w:ascii="Symbol" w:hAnsi="Symbol"/>
      </w:rPr>
    </w:lvl>
    <w:lvl w:ilvl="4" w:tplc="FBBE31D6">
      <w:start w:val="1"/>
      <w:numFmt w:val="bullet"/>
      <w:lvlText w:val="o"/>
      <w:lvlJc w:val="left"/>
      <w:pPr>
        <w:ind w:left="3600" w:hanging="360"/>
      </w:pPr>
      <w:rPr>
        <w:rFonts w:hint="default" w:ascii="Courier New" w:hAnsi="Courier New"/>
      </w:rPr>
    </w:lvl>
    <w:lvl w:ilvl="5" w:tplc="278C7146">
      <w:start w:val="1"/>
      <w:numFmt w:val="bullet"/>
      <w:lvlText w:val=""/>
      <w:lvlJc w:val="left"/>
      <w:pPr>
        <w:ind w:left="4320" w:hanging="360"/>
      </w:pPr>
      <w:rPr>
        <w:rFonts w:hint="default" w:ascii="Wingdings" w:hAnsi="Wingdings"/>
      </w:rPr>
    </w:lvl>
    <w:lvl w:ilvl="6" w:tplc="14F696A0">
      <w:start w:val="1"/>
      <w:numFmt w:val="bullet"/>
      <w:lvlText w:val=""/>
      <w:lvlJc w:val="left"/>
      <w:pPr>
        <w:ind w:left="5040" w:hanging="360"/>
      </w:pPr>
      <w:rPr>
        <w:rFonts w:hint="default" w:ascii="Symbol" w:hAnsi="Symbol"/>
      </w:rPr>
    </w:lvl>
    <w:lvl w:ilvl="7" w:tplc="03701F5E">
      <w:start w:val="1"/>
      <w:numFmt w:val="bullet"/>
      <w:lvlText w:val="o"/>
      <w:lvlJc w:val="left"/>
      <w:pPr>
        <w:ind w:left="5760" w:hanging="360"/>
      </w:pPr>
      <w:rPr>
        <w:rFonts w:hint="default" w:ascii="Courier New" w:hAnsi="Courier New"/>
      </w:rPr>
    </w:lvl>
    <w:lvl w:ilvl="8" w:tplc="B308B22E">
      <w:start w:val="1"/>
      <w:numFmt w:val="bullet"/>
      <w:lvlText w:val=""/>
      <w:lvlJc w:val="left"/>
      <w:pPr>
        <w:ind w:left="6480" w:hanging="360"/>
      </w:pPr>
      <w:rPr>
        <w:rFonts w:hint="default" w:ascii="Wingdings" w:hAnsi="Wingdings"/>
      </w:rPr>
    </w:lvl>
  </w:abstractNum>
  <w:abstractNum w:abstractNumId="11" w15:restartNumberingAfterBreak="0">
    <w:nsid w:val="32936C5F"/>
    <w:multiLevelType w:val="multilevel"/>
    <w:tmpl w:val="FFFFFFFF"/>
    <w:lvl w:ilvl="0">
      <w:start w:val="3"/>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360" w:hanging="360"/>
      </w:pPr>
    </w:lvl>
    <w:lvl w:ilvl="3">
      <w:start w:val="1"/>
      <w:numFmt w:val="decimal"/>
      <w:lvlText w:val="%1.%2.%3.%4"/>
      <w:lvlJc w:val="left"/>
      <w:pPr>
        <w:ind w:left="360" w:hanging="36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2" w15:restartNumberingAfterBreak="0">
    <w:nsid w:val="34B13B4B"/>
    <w:multiLevelType w:val="multilevel"/>
    <w:tmpl w:val="FFFFFFFF"/>
    <w:lvl w:ilvl="0">
      <w:start w:val="1"/>
      <w:numFmt w:val="decimal"/>
      <w:lvlText w:val="%1."/>
      <w:lvlJc w:val="left"/>
      <w:pPr>
        <w:ind w:left="360" w:hanging="360"/>
      </w:pPr>
      <w:rPr>
        <w:color w:val="000000"/>
        <w:sz w:val="32"/>
        <w:szCs w:val="32"/>
      </w:rPr>
    </w:lvl>
    <w:lvl w:ilvl="1">
      <w:start w:val="1"/>
      <w:numFmt w:val="decimal"/>
      <w:lvlText w:val="%1.%2."/>
      <w:lvlJc w:val="left"/>
      <w:pPr>
        <w:ind w:left="792" w:hanging="432"/>
      </w:pPr>
    </w:lvl>
    <w:lvl w:ilvl="2">
      <w:start w:val="1"/>
      <w:numFmt w:val="decimal"/>
      <w:lvlText w:val="%1.%2.%3."/>
      <w:lvlJc w:val="left"/>
      <w:pPr>
        <w:ind w:left="1224" w:hanging="504"/>
      </w:pPr>
      <w:rPr>
        <w:b w:val="0"/>
        <w:color w:val="000000" w:themeColor="text1"/>
        <w:sz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CACA5DD"/>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40C21870"/>
    <w:multiLevelType w:val="multilevel"/>
    <w:tmpl w:val="FFFFFFFF"/>
    <w:lvl w:ilvl="0">
      <w:start w:val="1"/>
      <w:numFmt w:val="bullet"/>
      <w:lvlText w:val="·"/>
      <w:lvlJc w:val="left"/>
      <w:pPr>
        <w:ind w:left="709" w:hanging="360"/>
      </w:pPr>
      <w:rPr>
        <w:rFonts w:hint="default" w:ascii="Symbol" w:hAnsi="Symbol" w:eastAsia="Symbol" w:cs="Symbol"/>
      </w:rPr>
    </w:lvl>
    <w:lvl w:ilvl="1">
      <w:start w:val="1"/>
      <w:numFmt w:val="bullet"/>
      <w:lvlText w:val="o"/>
      <w:lvlJc w:val="left"/>
      <w:pPr>
        <w:ind w:left="1429" w:hanging="360"/>
      </w:pPr>
      <w:rPr>
        <w:rFonts w:hint="default" w:ascii="Courier New" w:hAnsi="Courier New" w:eastAsia="Courier New" w:cs="Courier New"/>
      </w:rPr>
    </w:lvl>
    <w:lvl w:ilvl="2">
      <w:start w:val="1"/>
      <w:numFmt w:val="bullet"/>
      <w:lvlText w:val="§"/>
      <w:lvlJc w:val="left"/>
      <w:pPr>
        <w:ind w:left="2149" w:hanging="360"/>
      </w:pPr>
      <w:rPr>
        <w:rFonts w:hint="default" w:ascii="Wingdings" w:hAnsi="Wingdings" w:eastAsia="Wingdings" w:cs="Wingdings"/>
      </w:rPr>
    </w:lvl>
    <w:lvl w:ilvl="3">
      <w:start w:val="1"/>
      <w:numFmt w:val="bullet"/>
      <w:lvlText w:val="·"/>
      <w:lvlJc w:val="left"/>
      <w:pPr>
        <w:ind w:left="2869" w:hanging="360"/>
      </w:pPr>
      <w:rPr>
        <w:rFonts w:hint="default" w:ascii="Symbol" w:hAnsi="Symbol" w:eastAsia="Symbol" w:cs="Symbol"/>
      </w:rPr>
    </w:lvl>
    <w:lvl w:ilvl="4">
      <w:start w:val="1"/>
      <w:numFmt w:val="bullet"/>
      <w:lvlText w:val="o"/>
      <w:lvlJc w:val="left"/>
      <w:pPr>
        <w:ind w:left="3589" w:hanging="360"/>
      </w:pPr>
      <w:rPr>
        <w:rFonts w:hint="default" w:ascii="Courier New" w:hAnsi="Courier New" w:eastAsia="Courier New" w:cs="Courier New"/>
      </w:rPr>
    </w:lvl>
    <w:lvl w:ilvl="5">
      <w:start w:val="1"/>
      <w:numFmt w:val="bullet"/>
      <w:lvlText w:val="§"/>
      <w:lvlJc w:val="left"/>
      <w:pPr>
        <w:ind w:left="4309" w:hanging="360"/>
      </w:pPr>
      <w:rPr>
        <w:rFonts w:hint="default" w:ascii="Wingdings" w:hAnsi="Wingdings" w:eastAsia="Wingdings" w:cs="Wingdings"/>
      </w:rPr>
    </w:lvl>
    <w:lvl w:ilvl="6">
      <w:start w:val="1"/>
      <w:numFmt w:val="bullet"/>
      <w:lvlText w:val="·"/>
      <w:lvlJc w:val="left"/>
      <w:pPr>
        <w:ind w:left="5029" w:hanging="360"/>
      </w:pPr>
      <w:rPr>
        <w:rFonts w:hint="default" w:ascii="Symbol" w:hAnsi="Symbol" w:eastAsia="Symbol" w:cs="Symbol"/>
      </w:rPr>
    </w:lvl>
    <w:lvl w:ilvl="7">
      <w:start w:val="1"/>
      <w:numFmt w:val="bullet"/>
      <w:lvlText w:val="o"/>
      <w:lvlJc w:val="left"/>
      <w:pPr>
        <w:ind w:left="5749" w:hanging="360"/>
      </w:pPr>
      <w:rPr>
        <w:rFonts w:hint="default" w:ascii="Courier New" w:hAnsi="Courier New" w:eastAsia="Courier New" w:cs="Courier New"/>
      </w:rPr>
    </w:lvl>
    <w:lvl w:ilvl="8">
      <w:start w:val="1"/>
      <w:numFmt w:val="bullet"/>
      <w:lvlText w:val="§"/>
      <w:lvlJc w:val="left"/>
      <w:pPr>
        <w:ind w:left="6469" w:hanging="360"/>
      </w:pPr>
      <w:rPr>
        <w:rFonts w:hint="default" w:ascii="Wingdings" w:hAnsi="Wingdings" w:eastAsia="Wingdings" w:cs="Wingdings"/>
      </w:rPr>
    </w:lvl>
  </w:abstractNum>
  <w:abstractNum w:abstractNumId="15" w15:restartNumberingAfterBreak="0">
    <w:nsid w:val="4322326D"/>
    <w:multiLevelType w:val="multilevel"/>
    <w:tmpl w:val="FFFFFFFF"/>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44E551BD"/>
    <w:multiLevelType w:val="hybridMultilevel"/>
    <w:tmpl w:val="FFFFFFFF"/>
    <w:lvl w:ilvl="0" w:tplc="0B4808BE">
      <w:start w:val="1"/>
      <w:numFmt w:val="bullet"/>
      <w:lvlText w:val=""/>
      <w:lvlJc w:val="left"/>
      <w:pPr>
        <w:ind w:left="720" w:hanging="360"/>
      </w:pPr>
      <w:rPr>
        <w:rFonts w:hint="default" w:ascii="Symbol" w:hAnsi="Symbol"/>
      </w:rPr>
    </w:lvl>
    <w:lvl w:ilvl="1" w:tplc="E4066ED4">
      <w:start w:val="1"/>
      <w:numFmt w:val="bullet"/>
      <w:lvlText w:val="o"/>
      <w:lvlJc w:val="left"/>
      <w:pPr>
        <w:ind w:left="1440" w:hanging="360"/>
      </w:pPr>
      <w:rPr>
        <w:rFonts w:hint="default" w:ascii="Courier New" w:hAnsi="Courier New"/>
      </w:rPr>
    </w:lvl>
    <w:lvl w:ilvl="2" w:tplc="41388536">
      <w:start w:val="1"/>
      <w:numFmt w:val="bullet"/>
      <w:lvlText w:val=""/>
      <w:lvlJc w:val="left"/>
      <w:pPr>
        <w:ind w:left="2160" w:hanging="360"/>
      </w:pPr>
      <w:rPr>
        <w:rFonts w:hint="default" w:ascii="Wingdings" w:hAnsi="Wingdings"/>
      </w:rPr>
    </w:lvl>
    <w:lvl w:ilvl="3" w:tplc="FD567966">
      <w:start w:val="1"/>
      <w:numFmt w:val="bullet"/>
      <w:lvlText w:val=""/>
      <w:lvlJc w:val="left"/>
      <w:pPr>
        <w:ind w:left="2880" w:hanging="360"/>
      </w:pPr>
      <w:rPr>
        <w:rFonts w:hint="default" w:ascii="Symbol" w:hAnsi="Symbol"/>
      </w:rPr>
    </w:lvl>
    <w:lvl w:ilvl="4" w:tplc="CCC8C1C6">
      <w:start w:val="1"/>
      <w:numFmt w:val="bullet"/>
      <w:lvlText w:val="o"/>
      <w:lvlJc w:val="left"/>
      <w:pPr>
        <w:ind w:left="3600" w:hanging="360"/>
      </w:pPr>
      <w:rPr>
        <w:rFonts w:hint="default" w:ascii="Courier New" w:hAnsi="Courier New"/>
      </w:rPr>
    </w:lvl>
    <w:lvl w:ilvl="5" w:tplc="84DEB4E6">
      <w:start w:val="1"/>
      <w:numFmt w:val="bullet"/>
      <w:lvlText w:val=""/>
      <w:lvlJc w:val="left"/>
      <w:pPr>
        <w:ind w:left="4320" w:hanging="360"/>
      </w:pPr>
      <w:rPr>
        <w:rFonts w:hint="default" w:ascii="Wingdings" w:hAnsi="Wingdings"/>
      </w:rPr>
    </w:lvl>
    <w:lvl w:ilvl="6" w:tplc="723E18E4">
      <w:start w:val="1"/>
      <w:numFmt w:val="bullet"/>
      <w:lvlText w:val=""/>
      <w:lvlJc w:val="left"/>
      <w:pPr>
        <w:ind w:left="5040" w:hanging="360"/>
      </w:pPr>
      <w:rPr>
        <w:rFonts w:hint="default" w:ascii="Symbol" w:hAnsi="Symbol"/>
      </w:rPr>
    </w:lvl>
    <w:lvl w:ilvl="7" w:tplc="6CB26C30">
      <w:start w:val="1"/>
      <w:numFmt w:val="bullet"/>
      <w:lvlText w:val="o"/>
      <w:lvlJc w:val="left"/>
      <w:pPr>
        <w:ind w:left="5760" w:hanging="360"/>
      </w:pPr>
      <w:rPr>
        <w:rFonts w:hint="default" w:ascii="Courier New" w:hAnsi="Courier New"/>
      </w:rPr>
    </w:lvl>
    <w:lvl w:ilvl="8" w:tplc="C9D80D9A">
      <w:start w:val="1"/>
      <w:numFmt w:val="bullet"/>
      <w:lvlText w:val=""/>
      <w:lvlJc w:val="left"/>
      <w:pPr>
        <w:ind w:left="6480" w:hanging="360"/>
      </w:pPr>
      <w:rPr>
        <w:rFonts w:hint="default" w:ascii="Wingdings" w:hAnsi="Wingdings"/>
      </w:rPr>
    </w:lvl>
  </w:abstractNum>
  <w:abstractNum w:abstractNumId="17" w15:restartNumberingAfterBreak="0">
    <w:nsid w:val="51A62A24"/>
    <w:multiLevelType w:val="hybridMultilevel"/>
    <w:tmpl w:val="FFFFFFFF"/>
    <w:lvl w:ilvl="0" w:tplc="56CEAF42">
      <w:start w:val="1"/>
      <w:numFmt w:val="bullet"/>
      <w:lvlText w:val=""/>
      <w:lvlJc w:val="left"/>
      <w:pPr>
        <w:ind w:left="720" w:hanging="360"/>
      </w:pPr>
      <w:rPr>
        <w:rFonts w:hint="default" w:ascii="Symbol" w:hAnsi="Symbol"/>
      </w:rPr>
    </w:lvl>
    <w:lvl w:ilvl="1" w:tplc="2802585E">
      <w:start w:val="1"/>
      <w:numFmt w:val="bullet"/>
      <w:lvlText w:val="o"/>
      <w:lvlJc w:val="left"/>
      <w:pPr>
        <w:ind w:left="1440" w:hanging="360"/>
      </w:pPr>
      <w:rPr>
        <w:rFonts w:hint="default" w:ascii="Courier New" w:hAnsi="Courier New"/>
      </w:rPr>
    </w:lvl>
    <w:lvl w:ilvl="2" w:tplc="A0DC9CBA">
      <w:start w:val="1"/>
      <w:numFmt w:val="bullet"/>
      <w:lvlText w:val=""/>
      <w:lvlJc w:val="left"/>
      <w:pPr>
        <w:ind w:left="2160" w:hanging="360"/>
      </w:pPr>
      <w:rPr>
        <w:rFonts w:hint="default" w:ascii="Wingdings" w:hAnsi="Wingdings"/>
      </w:rPr>
    </w:lvl>
    <w:lvl w:ilvl="3" w:tplc="3630573C">
      <w:start w:val="1"/>
      <w:numFmt w:val="bullet"/>
      <w:lvlText w:val=""/>
      <w:lvlJc w:val="left"/>
      <w:pPr>
        <w:ind w:left="2880" w:hanging="360"/>
      </w:pPr>
      <w:rPr>
        <w:rFonts w:hint="default" w:ascii="Symbol" w:hAnsi="Symbol"/>
      </w:rPr>
    </w:lvl>
    <w:lvl w:ilvl="4" w:tplc="01380A76">
      <w:start w:val="1"/>
      <w:numFmt w:val="bullet"/>
      <w:lvlText w:val="o"/>
      <w:lvlJc w:val="left"/>
      <w:pPr>
        <w:ind w:left="3600" w:hanging="360"/>
      </w:pPr>
      <w:rPr>
        <w:rFonts w:hint="default" w:ascii="Courier New" w:hAnsi="Courier New"/>
      </w:rPr>
    </w:lvl>
    <w:lvl w:ilvl="5" w:tplc="945402E6">
      <w:start w:val="1"/>
      <w:numFmt w:val="bullet"/>
      <w:lvlText w:val=""/>
      <w:lvlJc w:val="left"/>
      <w:pPr>
        <w:ind w:left="4320" w:hanging="360"/>
      </w:pPr>
      <w:rPr>
        <w:rFonts w:hint="default" w:ascii="Wingdings" w:hAnsi="Wingdings"/>
      </w:rPr>
    </w:lvl>
    <w:lvl w:ilvl="6" w:tplc="8EC6C538">
      <w:start w:val="1"/>
      <w:numFmt w:val="bullet"/>
      <w:lvlText w:val=""/>
      <w:lvlJc w:val="left"/>
      <w:pPr>
        <w:ind w:left="5040" w:hanging="360"/>
      </w:pPr>
      <w:rPr>
        <w:rFonts w:hint="default" w:ascii="Symbol" w:hAnsi="Symbol"/>
      </w:rPr>
    </w:lvl>
    <w:lvl w:ilvl="7" w:tplc="AD505166">
      <w:start w:val="1"/>
      <w:numFmt w:val="bullet"/>
      <w:lvlText w:val="o"/>
      <w:lvlJc w:val="left"/>
      <w:pPr>
        <w:ind w:left="5760" w:hanging="360"/>
      </w:pPr>
      <w:rPr>
        <w:rFonts w:hint="default" w:ascii="Courier New" w:hAnsi="Courier New"/>
      </w:rPr>
    </w:lvl>
    <w:lvl w:ilvl="8" w:tplc="05E0B64C">
      <w:start w:val="1"/>
      <w:numFmt w:val="bullet"/>
      <w:lvlText w:val=""/>
      <w:lvlJc w:val="left"/>
      <w:pPr>
        <w:ind w:left="6480" w:hanging="360"/>
      </w:pPr>
      <w:rPr>
        <w:rFonts w:hint="default" w:ascii="Wingdings" w:hAnsi="Wingdings"/>
      </w:rPr>
    </w:lvl>
  </w:abstractNum>
  <w:abstractNum w:abstractNumId="18" w15:restartNumberingAfterBreak="0">
    <w:nsid w:val="530649AD"/>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9" w15:restartNumberingAfterBreak="0">
    <w:nsid w:val="53DE248B"/>
    <w:multiLevelType w:val="multilevel"/>
    <w:tmpl w:val="FFFFFFFF"/>
    <w:lvl w:ilvl="0">
      <w:start w:val="1"/>
      <w:numFmt w:val="bullet"/>
      <w:lvlText w:val="·"/>
      <w:lvlJc w:val="left"/>
      <w:pPr>
        <w:ind w:left="720" w:hanging="360"/>
      </w:pPr>
      <w:rPr>
        <w:rFonts w:hint="default" w:ascii="Symbol" w:hAnsi="Symbol" w:eastAsia="Symbol" w:cs="Symbol"/>
      </w:rPr>
    </w:lvl>
    <w:lvl w:ilvl="1">
      <w:start w:val="1"/>
      <w:numFmt w:val="bullet"/>
      <w:lvlText w:val="o"/>
      <w:lvlJc w:val="left"/>
      <w:pPr>
        <w:ind w:left="1440" w:hanging="360"/>
      </w:pPr>
      <w:rPr>
        <w:rFonts w:hint="default" w:ascii="Courier New" w:hAnsi="Courier New" w:eastAsia="Courier New" w:cs="Courier New"/>
      </w:rPr>
    </w:lvl>
    <w:lvl w:ilvl="2">
      <w:start w:val="1"/>
      <w:numFmt w:val="bullet"/>
      <w:lvlText w:val="§"/>
      <w:lvlJc w:val="left"/>
      <w:pPr>
        <w:ind w:left="2160" w:hanging="360"/>
      </w:pPr>
      <w:rPr>
        <w:rFonts w:hint="default" w:ascii="Wingdings" w:hAnsi="Wingdings" w:eastAsia="Wingdings" w:cs="Wingdings"/>
      </w:rPr>
    </w:lvl>
    <w:lvl w:ilvl="3">
      <w:start w:val="1"/>
      <w:numFmt w:val="bullet"/>
      <w:lvlText w:val="·"/>
      <w:lvlJc w:val="left"/>
      <w:pPr>
        <w:ind w:left="2880" w:hanging="360"/>
      </w:pPr>
      <w:rPr>
        <w:rFonts w:hint="default" w:ascii="Symbol" w:hAnsi="Symbol" w:eastAsia="Symbol" w:cs="Symbol"/>
      </w:rPr>
    </w:lvl>
    <w:lvl w:ilvl="4">
      <w:start w:val="1"/>
      <w:numFmt w:val="bullet"/>
      <w:lvlText w:val="o"/>
      <w:lvlJc w:val="left"/>
      <w:pPr>
        <w:ind w:left="3600" w:hanging="360"/>
      </w:pPr>
      <w:rPr>
        <w:rFonts w:hint="default" w:ascii="Courier New" w:hAnsi="Courier New" w:eastAsia="Courier New" w:cs="Courier New"/>
      </w:rPr>
    </w:lvl>
    <w:lvl w:ilvl="5">
      <w:start w:val="1"/>
      <w:numFmt w:val="bullet"/>
      <w:lvlText w:val="§"/>
      <w:lvlJc w:val="left"/>
      <w:pPr>
        <w:ind w:left="4320" w:hanging="360"/>
      </w:pPr>
      <w:rPr>
        <w:rFonts w:hint="default" w:ascii="Wingdings" w:hAnsi="Wingdings" w:eastAsia="Wingdings" w:cs="Wingdings"/>
      </w:rPr>
    </w:lvl>
    <w:lvl w:ilvl="6">
      <w:start w:val="1"/>
      <w:numFmt w:val="bullet"/>
      <w:lvlText w:val="·"/>
      <w:lvlJc w:val="left"/>
      <w:pPr>
        <w:ind w:left="5040" w:hanging="360"/>
      </w:pPr>
      <w:rPr>
        <w:rFonts w:hint="default" w:ascii="Symbol" w:hAnsi="Symbol" w:eastAsia="Symbol" w:cs="Symbol"/>
      </w:rPr>
    </w:lvl>
    <w:lvl w:ilvl="7">
      <w:start w:val="1"/>
      <w:numFmt w:val="bullet"/>
      <w:lvlText w:val="o"/>
      <w:lvlJc w:val="left"/>
      <w:pPr>
        <w:ind w:left="5760" w:hanging="360"/>
      </w:pPr>
      <w:rPr>
        <w:rFonts w:hint="default" w:ascii="Courier New" w:hAnsi="Courier New" w:eastAsia="Courier New" w:cs="Courier New"/>
      </w:rPr>
    </w:lvl>
    <w:lvl w:ilvl="8">
      <w:start w:val="1"/>
      <w:numFmt w:val="bullet"/>
      <w:lvlText w:val="§"/>
      <w:lvlJc w:val="left"/>
      <w:pPr>
        <w:ind w:left="6480" w:hanging="360"/>
      </w:pPr>
      <w:rPr>
        <w:rFonts w:hint="default" w:ascii="Wingdings" w:hAnsi="Wingdings" w:eastAsia="Wingdings" w:cs="Wingdings"/>
      </w:rPr>
    </w:lvl>
  </w:abstractNum>
  <w:abstractNum w:abstractNumId="20" w15:restartNumberingAfterBreak="0">
    <w:nsid w:val="569B481D"/>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3B2794D"/>
    <w:multiLevelType w:val="multilevel"/>
    <w:tmpl w:val="FFFFFFFF"/>
    <w:lvl w:ilvl="0">
      <w:start w:val="1"/>
      <w:numFmt w:val="bullet"/>
      <w:lvlText w:val="•"/>
      <w:lvlJc w:val="left"/>
      <w:pPr>
        <w:ind w:left="360" w:hanging="360"/>
      </w:pPr>
      <w:rPr>
        <w:rFonts w:ascii="Arial" w:hAnsi="Arial" w:eastAsia="Arial" w:cs="Arial"/>
      </w:rPr>
    </w:lvl>
    <w:lvl w:ilvl="1">
      <w:start w:val="1"/>
      <w:numFmt w:val="bullet"/>
      <w:lvlText w:val="●"/>
      <w:lvlJc w:val="left"/>
      <w:pPr>
        <w:ind w:left="1080" w:hanging="360"/>
      </w:pPr>
      <w:rPr>
        <w:rFonts w:ascii="Noto Sans Symbols" w:hAnsi="Noto Sans Symbols" w:eastAsia="Noto Sans Symbols" w:cs="Noto Sans Symbols"/>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2" w15:restartNumberingAfterBreak="0">
    <w:nsid w:val="74D6C8BC"/>
    <w:multiLevelType w:val="hybridMultilevel"/>
    <w:tmpl w:val="FFFFFFFF"/>
    <w:lvl w:ilvl="0" w:tplc="E9E21A66">
      <w:start w:val="1"/>
      <w:numFmt w:val="decimal"/>
      <w:lvlText w:val="%1."/>
      <w:lvlJc w:val="left"/>
      <w:pPr>
        <w:ind w:left="720" w:hanging="360"/>
      </w:pPr>
    </w:lvl>
    <w:lvl w:ilvl="1" w:tplc="0BB0DABC">
      <w:start w:val="1"/>
      <w:numFmt w:val="lowerLetter"/>
      <w:lvlText w:val="%2."/>
      <w:lvlJc w:val="left"/>
      <w:pPr>
        <w:ind w:left="1440" w:hanging="360"/>
      </w:pPr>
    </w:lvl>
    <w:lvl w:ilvl="2" w:tplc="E6167384">
      <w:start w:val="1"/>
      <w:numFmt w:val="lowerRoman"/>
      <w:lvlText w:val="%3."/>
      <w:lvlJc w:val="right"/>
      <w:pPr>
        <w:ind w:left="2160" w:hanging="180"/>
      </w:pPr>
    </w:lvl>
    <w:lvl w:ilvl="3" w:tplc="F49469E2">
      <w:start w:val="1"/>
      <w:numFmt w:val="decimal"/>
      <w:lvlText w:val="%4."/>
      <w:lvlJc w:val="left"/>
      <w:pPr>
        <w:ind w:left="2880" w:hanging="360"/>
      </w:pPr>
    </w:lvl>
    <w:lvl w:ilvl="4" w:tplc="5A12BA2E">
      <w:start w:val="1"/>
      <w:numFmt w:val="lowerLetter"/>
      <w:lvlText w:val="%5."/>
      <w:lvlJc w:val="left"/>
      <w:pPr>
        <w:ind w:left="3600" w:hanging="360"/>
      </w:pPr>
    </w:lvl>
    <w:lvl w:ilvl="5" w:tplc="2AB49CAA">
      <w:start w:val="1"/>
      <w:numFmt w:val="lowerRoman"/>
      <w:lvlText w:val="%6."/>
      <w:lvlJc w:val="right"/>
      <w:pPr>
        <w:ind w:left="4320" w:hanging="180"/>
      </w:pPr>
    </w:lvl>
    <w:lvl w:ilvl="6" w:tplc="91CCBC1E">
      <w:start w:val="1"/>
      <w:numFmt w:val="decimal"/>
      <w:lvlText w:val="%7."/>
      <w:lvlJc w:val="left"/>
      <w:pPr>
        <w:ind w:left="5040" w:hanging="360"/>
      </w:pPr>
    </w:lvl>
    <w:lvl w:ilvl="7" w:tplc="60980024">
      <w:start w:val="1"/>
      <w:numFmt w:val="lowerLetter"/>
      <w:lvlText w:val="%8."/>
      <w:lvlJc w:val="left"/>
      <w:pPr>
        <w:ind w:left="5760" w:hanging="360"/>
      </w:pPr>
    </w:lvl>
    <w:lvl w:ilvl="8" w:tplc="D89C75F0">
      <w:start w:val="1"/>
      <w:numFmt w:val="lowerRoman"/>
      <w:lvlText w:val="%9."/>
      <w:lvlJc w:val="right"/>
      <w:pPr>
        <w:ind w:left="6480" w:hanging="180"/>
      </w:pPr>
    </w:lvl>
  </w:abstractNum>
  <w:abstractNum w:abstractNumId="23" w15:restartNumberingAfterBreak="0">
    <w:nsid w:val="7DA8FB67"/>
    <w:multiLevelType w:val="multilevel"/>
    <w:tmpl w:val="FFFFFFFF"/>
    <w:lvl w:ilvl="0">
      <w:start w:val="1"/>
      <w:numFmt w:val="bullet"/>
      <w:lvlText w:val=""/>
      <w:lvlJc w:val="left"/>
      <w:pPr>
        <w:ind w:left="2160" w:hanging="360"/>
      </w:pPr>
      <w:rPr>
        <w:rFonts w:hint="default" w:ascii="Symbol" w:hAnsi="Symbol"/>
      </w:rPr>
    </w:lvl>
    <w:lvl w:ilvl="1">
      <w:start w:val="1"/>
      <w:numFmt w:val="bullet"/>
      <w:lvlText w:val="o"/>
      <w:lvlJc w:val="left"/>
      <w:pPr>
        <w:ind w:left="2880" w:hanging="360"/>
      </w:pPr>
      <w:rPr>
        <w:rFonts w:hint="default" w:ascii="Courier New" w:hAnsi="Courier New"/>
      </w:rPr>
    </w:lvl>
    <w:lvl w:ilvl="2">
      <w:start w:val="1"/>
      <w:numFmt w:val="bullet"/>
      <w:lvlText w:val=""/>
      <w:lvlJc w:val="left"/>
      <w:pPr>
        <w:ind w:left="3600" w:hanging="360"/>
      </w:pPr>
      <w:rPr>
        <w:rFonts w:hint="default" w:ascii="Wingdings" w:hAnsi="Wingdings"/>
      </w:rPr>
    </w:lvl>
    <w:lvl w:ilvl="3">
      <w:start w:val="1"/>
      <w:numFmt w:val="bullet"/>
      <w:lvlText w:val=""/>
      <w:lvlJc w:val="left"/>
      <w:pPr>
        <w:ind w:left="4320" w:hanging="360"/>
      </w:pPr>
      <w:rPr>
        <w:rFonts w:hint="default" w:ascii="Symbol" w:hAnsi="Symbol"/>
      </w:rPr>
    </w:lvl>
    <w:lvl w:ilvl="4">
      <w:start w:val="1"/>
      <w:numFmt w:val="bullet"/>
      <w:lvlText w:val="o"/>
      <w:lvlJc w:val="left"/>
      <w:pPr>
        <w:ind w:left="5040" w:hanging="360"/>
      </w:pPr>
      <w:rPr>
        <w:rFonts w:hint="default" w:ascii="Courier New" w:hAnsi="Courier New"/>
      </w:rPr>
    </w:lvl>
    <w:lvl w:ilvl="5">
      <w:start w:val="1"/>
      <w:numFmt w:val="bullet"/>
      <w:lvlText w:val=""/>
      <w:lvlJc w:val="left"/>
      <w:pPr>
        <w:ind w:left="5760" w:hanging="360"/>
      </w:pPr>
      <w:rPr>
        <w:rFonts w:hint="default" w:ascii="Wingdings" w:hAnsi="Wingdings"/>
      </w:rPr>
    </w:lvl>
    <w:lvl w:ilvl="6">
      <w:start w:val="1"/>
      <w:numFmt w:val="bullet"/>
      <w:lvlText w:val=""/>
      <w:lvlJc w:val="left"/>
      <w:pPr>
        <w:ind w:left="6480" w:hanging="360"/>
      </w:pPr>
      <w:rPr>
        <w:rFonts w:hint="default" w:ascii="Symbol" w:hAnsi="Symbol"/>
      </w:rPr>
    </w:lvl>
    <w:lvl w:ilvl="7">
      <w:start w:val="1"/>
      <w:numFmt w:val="bullet"/>
      <w:lvlText w:val="o"/>
      <w:lvlJc w:val="left"/>
      <w:pPr>
        <w:ind w:left="7200" w:hanging="360"/>
      </w:pPr>
      <w:rPr>
        <w:rFonts w:hint="default" w:ascii="Courier New" w:hAnsi="Courier New"/>
      </w:rPr>
    </w:lvl>
    <w:lvl w:ilvl="8">
      <w:start w:val="1"/>
      <w:numFmt w:val="bullet"/>
      <w:lvlText w:val=""/>
      <w:lvlJc w:val="left"/>
      <w:pPr>
        <w:ind w:left="7920" w:hanging="360"/>
      </w:pPr>
      <w:rPr>
        <w:rFonts w:hint="default" w:ascii="Wingdings" w:hAnsi="Wingdings"/>
      </w:rPr>
    </w:lvl>
  </w:abstractNum>
  <w:abstractNum w:abstractNumId="24" w15:restartNumberingAfterBreak="0">
    <w:nsid w:val="7FC62E5D"/>
    <w:multiLevelType w:val="multilevel"/>
    <w:tmpl w:val="FFFFFFFF"/>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num w:numId="1" w16cid:durableId="972447826">
    <w:abstractNumId w:val="1"/>
  </w:num>
  <w:num w:numId="2" w16cid:durableId="58065438">
    <w:abstractNumId w:val="10"/>
  </w:num>
  <w:num w:numId="3" w16cid:durableId="1677923770">
    <w:abstractNumId w:val="2"/>
  </w:num>
  <w:num w:numId="4" w16cid:durableId="1315066001">
    <w:abstractNumId w:val="17"/>
  </w:num>
  <w:num w:numId="5" w16cid:durableId="39211343">
    <w:abstractNumId w:val="22"/>
  </w:num>
  <w:num w:numId="6" w16cid:durableId="403143827">
    <w:abstractNumId w:val="16"/>
  </w:num>
  <w:num w:numId="7" w16cid:durableId="1533104644">
    <w:abstractNumId w:val="23"/>
  </w:num>
  <w:num w:numId="8" w16cid:durableId="1342703192">
    <w:abstractNumId w:val="5"/>
  </w:num>
  <w:num w:numId="9" w16cid:durableId="920677626">
    <w:abstractNumId w:val="9"/>
  </w:num>
  <w:num w:numId="10" w16cid:durableId="1294217546">
    <w:abstractNumId w:val="20"/>
  </w:num>
  <w:num w:numId="11" w16cid:durableId="1744525388">
    <w:abstractNumId w:val="13"/>
  </w:num>
  <w:num w:numId="12" w16cid:durableId="2080202793">
    <w:abstractNumId w:val="18"/>
  </w:num>
  <w:num w:numId="13" w16cid:durableId="918708063">
    <w:abstractNumId w:val="4"/>
  </w:num>
  <w:num w:numId="14" w16cid:durableId="149758231">
    <w:abstractNumId w:val="15"/>
  </w:num>
  <w:num w:numId="15" w16cid:durableId="643387559">
    <w:abstractNumId w:val="11"/>
  </w:num>
  <w:num w:numId="16" w16cid:durableId="2101634890">
    <w:abstractNumId w:val="7"/>
  </w:num>
  <w:num w:numId="17" w16cid:durableId="893855629">
    <w:abstractNumId w:val="12"/>
  </w:num>
  <w:num w:numId="18" w16cid:durableId="1306736121">
    <w:abstractNumId w:val="21"/>
  </w:num>
  <w:num w:numId="19" w16cid:durableId="1952056373">
    <w:abstractNumId w:val="24"/>
  </w:num>
  <w:num w:numId="20" w16cid:durableId="448745136">
    <w:abstractNumId w:val="19"/>
  </w:num>
  <w:num w:numId="21" w16cid:durableId="632833166">
    <w:abstractNumId w:val="6"/>
  </w:num>
  <w:num w:numId="22" w16cid:durableId="623080633">
    <w:abstractNumId w:val="8"/>
  </w:num>
  <w:num w:numId="23" w16cid:durableId="1680034787">
    <w:abstractNumId w:val="14"/>
  </w:num>
  <w:num w:numId="24" w16cid:durableId="996498351">
    <w:abstractNumId w:val="3"/>
  </w:num>
  <w:num w:numId="25" w16cid:durableId="1579755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E6A"/>
    <w:rsid w:val="00130DAF"/>
    <w:rsid w:val="00133E6A"/>
    <w:rsid w:val="00DF2849"/>
    <w:rsid w:val="00FF399E"/>
    <w:rsid w:val="0F32434F"/>
    <w:rsid w:val="10927C88"/>
    <w:rsid w:val="116B9A1C"/>
    <w:rsid w:val="135E3C54"/>
    <w:rsid w:val="1CCD8B69"/>
    <w:rsid w:val="206489AE"/>
    <w:rsid w:val="26C3F31D"/>
    <w:rsid w:val="27AF1092"/>
    <w:rsid w:val="28BAC1A7"/>
    <w:rsid w:val="2EA600BE"/>
    <w:rsid w:val="354D3321"/>
    <w:rsid w:val="48328EF1"/>
    <w:rsid w:val="49203118"/>
    <w:rsid w:val="4BF0FFAE"/>
    <w:rsid w:val="537246A1"/>
    <w:rsid w:val="5453FF9A"/>
    <w:rsid w:val="54EC77A0"/>
    <w:rsid w:val="5BE524DB"/>
    <w:rsid w:val="5D696F13"/>
    <w:rsid w:val="66045650"/>
    <w:rsid w:val="75E3F348"/>
    <w:rsid w:val="784159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0F7BB"/>
  <w15:docId w15:val="{35936967-7E5F-4F50-A7C3-67AD19338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US" w:eastAsia="en-US" w:bidi="he-IL"/>
      </w:rPr>
    </w:rPrDefault>
    <w:pPrDefault>
      <w:pPr>
        <w:spacing w:before="20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link w:val="Heading1Char"/>
    <w:uiPriority w:val="9"/>
    <w:qFormat/>
    <w:rsid w:val="26C3F31D"/>
    <w:pPr>
      <w:keepNext/>
      <w:keepLines/>
      <w:spacing w:before="480" w:after="0"/>
      <w:outlineLvl w:val="0"/>
    </w:pPr>
    <w:rPr>
      <w:b/>
      <w:bCs/>
      <w:color w:val="366091"/>
      <w:sz w:val="28"/>
      <w:szCs w:val="28"/>
    </w:rPr>
  </w:style>
  <w:style w:type="paragraph" w:styleId="Heading2">
    <w:name w:val="heading 2"/>
    <w:link w:val="Heading2Char"/>
    <w:uiPriority w:val="9"/>
    <w:unhideWhenUsed/>
    <w:qFormat/>
    <w:rsid w:val="26C3F31D"/>
    <w:pPr>
      <w:keepNext/>
      <w:keepLines/>
      <w:spacing w:after="0"/>
      <w:outlineLvl w:val="1"/>
    </w:pPr>
    <w:rPr>
      <w:b/>
      <w:bCs/>
      <w:color w:val="984806" w:themeColor="accent6" w:themeShade="80"/>
      <w:sz w:val="28"/>
      <w:szCs w:val="28"/>
    </w:rPr>
  </w:style>
  <w:style w:type="paragraph" w:styleId="Heading3">
    <w:name w:val="heading 3"/>
    <w:link w:val="Heading3Char"/>
    <w:uiPriority w:val="9"/>
    <w:unhideWhenUsed/>
    <w:qFormat/>
    <w:rsid w:val="26C3F31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link w:val="Heading4Char"/>
    <w:uiPriority w:val="9"/>
    <w:unhideWhenUsed/>
    <w:qFormat/>
    <w:rsid w:val="26C3F31D"/>
    <w:pPr>
      <w:keepNext/>
      <w:keepLines/>
      <w:spacing w:before="80" w:after="40"/>
      <w:outlineLvl w:val="3"/>
    </w:pPr>
    <w:rPr>
      <w:rFonts w:eastAsiaTheme="majorEastAsia" w:cstheme="majorBidi"/>
      <w:i/>
      <w:iCs/>
      <w:color w:val="365F91" w:themeColor="accent1" w:themeShade="BF"/>
    </w:rPr>
  </w:style>
  <w:style w:type="paragraph" w:styleId="Heading5">
    <w:name w:val="heading 5"/>
    <w:link w:val="Heading5Char"/>
    <w:uiPriority w:val="9"/>
    <w:semiHidden/>
    <w:unhideWhenUsed/>
    <w:qFormat/>
    <w:rsid w:val="26C3F31D"/>
    <w:pPr>
      <w:keepNext/>
      <w:keepLines/>
      <w:spacing w:before="220" w:after="40"/>
      <w:outlineLvl w:val="4"/>
    </w:pPr>
    <w:rPr>
      <w:b/>
      <w:bCs/>
    </w:rPr>
  </w:style>
  <w:style w:type="paragraph" w:styleId="Heading6">
    <w:name w:val="heading 6"/>
    <w:link w:val="Heading6Char"/>
    <w:uiPriority w:val="9"/>
    <w:semiHidden/>
    <w:unhideWhenUsed/>
    <w:qFormat/>
    <w:rsid w:val="26C3F31D"/>
    <w:pPr>
      <w:keepNext/>
      <w:keepLines/>
      <w:spacing w:after="40"/>
      <w:outlineLvl w:val="5"/>
    </w:pPr>
    <w:rPr>
      <w:b/>
      <w:bCs/>
      <w:sz w:val="20"/>
      <w:szCs w:val="20"/>
    </w:rPr>
  </w:style>
  <w:style w:type="paragraph" w:styleId="Heading7">
    <w:name w:val="heading 7"/>
    <w:link w:val="Heading7Char"/>
    <w:uiPriority w:val="9"/>
    <w:unhideWhenUsed/>
    <w:qFormat/>
    <w:rsid w:val="26C3F31D"/>
    <w:pPr>
      <w:keepNext/>
      <w:keepLines/>
      <w:spacing w:before="40" w:after="0"/>
      <w:outlineLvl w:val="6"/>
    </w:pPr>
    <w:rPr>
      <w:color w:val="595959" w:themeColor="text1" w:themeTint="A6"/>
    </w:rPr>
  </w:style>
  <w:style w:type="paragraph" w:styleId="Heading8">
    <w:name w:val="heading 8"/>
    <w:link w:val="Heading8Char"/>
    <w:uiPriority w:val="9"/>
    <w:unhideWhenUsed/>
    <w:qFormat/>
    <w:rsid w:val="26C3F31D"/>
    <w:pPr>
      <w:keepNext/>
      <w:keepLines/>
      <w:spacing w:after="0"/>
      <w:outlineLvl w:val="7"/>
    </w:pPr>
    <w:rPr>
      <w:i/>
      <w:iCs/>
      <w:color w:val="272727"/>
    </w:rPr>
  </w:style>
  <w:style w:type="paragraph" w:styleId="Heading9">
    <w:name w:val="heading 9"/>
    <w:link w:val="Heading9Char"/>
    <w:uiPriority w:val="9"/>
    <w:unhideWhenUsed/>
    <w:qFormat/>
    <w:rsid w:val="26C3F31D"/>
    <w:pPr>
      <w:keepNext/>
      <w:keepLines/>
      <w:spacing w:after="0"/>
      <w:outlineLvl w:val="8"/>
    </w:pPr>
    <w:rPr>
      <w:i/>
      <w:iCs/>
      <w:color w:val="2727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Light">
    <w:name w:val="Grid Table Light"/>
    <w:basedOn w:val="TableNormal"/>
    <w:uiPriority w:val="59"/>
    <w:pPr>
      <w:spacing w:after="0"/>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PlainTable1">
    <w:name w:val="Plain Table 1"/>
    <w:basedOn w:val="TableNormal"/>
    <w:uiPriority w:val="59"/>
    <w:pPr>
      <w:spacing w:after="0"/>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bl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PlainTable3">
    <w:name w:val="Plain Table 3"/>
    <w:basedOn w:val="TableNormal"/>
    <w:uiPriority w:val="99"/>
    <w:pPr>
      <w:spacing w:after="0"/>
    </w:pPr>
    <w:tblPr>
      <w:tblStyleRowBandSize w:val="1"/>
      <w:tblStyleColBandSize w:val="1"/>
    </w:tbl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Row">
      <w:rPr>
        <w:b/>
        <w:caps/>
        <w:color w:val="404040"/>
      </w:r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pPr>
    <w:tblPr>
      <w:tblStyleRowBandSize w:val="1"/>
      <w:tblStyleColBandSize w:val="1"/>
    </w:tblPr>
    <w:tblStylePr w:type="firstRow">
      <w:rPr>
        <w:i/>
        <w:color w:val="404040"/>
      </w:rPr>
      <w:tblPr/>
      <w:tcPr>
        <w:tcBorders>
          <w:left w:val="none" w:color="000000" w:sz="4" w:space="0"/>
          <w:bottom w:val="single" w:color="404040" w:sz="4" w:space="0"/>
          <w:right w:val="none" w:color="000000" w:sz="4" w:space="0"/>
        </w:tcBorders>
        <w:shd w:val="clear" w:color="FFFFFF" w:fill="auto"/>
      </w:tcPr>
    </w:tblStylePr>
    <w:tblStylePr w:type="lastRow">
      <w:rPr>
        <w:i/>
        <w:color w:val="404040"/>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color w:val="404040"/>
      </w:rPr>
      <w:tblPr/>
      <w:tcPr>
        <w:tcBorders>
          <w:bottom w:val="single" w:color="6A6A6A"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style>
  <w:style w:type="table" w:styleId="GridTable1Light-Accent1">
    <w:name w:val="Grid Table 1 Light Accent 1"/>
    <w:basedOn w:val="TableNormal"/>
    <w:uiPriority w:val="99"/>
    <w:pPr>
      <w:spacing w:after="0"/>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color w:val="404040"/>
      </w:rPr>
      <w:tblPr/>
      <w:tcPr>
        <w:tcBorders>
          <w:bottom w:val="single" w:color="97B4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style>
  <w:style w:type="table" w:styleId="GridTable1Light-Accent2">
    <w:name w:val="Grid Table 1 Light Accent 2"/>
    <w:basedOn w:val="TableNormal"/>
    <w:uiPriority w:val="99"/>
    <w:pPr>
      <w:spacing w:after="0"/>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color w:val="404040"/>
      </w:rPr>
      <w:tbl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style>
  <w:style w:type="table" w:styleId="GridTable1Light-Accent3">
    <w:name w:val="Grid Table 1 Light Accent 3"/>
    <w:basedOn w:val="TableNormal"/>
    <w:uiPriority w:val="99"/>
    <w:pPr>
      <w:spacing w:after="0"/>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blPr/>
      <w:tcPr>
        <w:tcBorders>
          <w:bottom w:val="single" w:color="C4D79D"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styleId="GridTable1Light-Accent4">
    <w:name w:val="Grid Table 1 Light Accent 4"/>
    <w:basedOn w:val="TableNormal"/>
    <w:uiPriority w:val="99"/>
    <w:pPr>
      <w:spacing w:after="0"/>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bl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styleId="GridTable1Light-Accent5">
    <w:name w:val="Grid Table 1 Light Accent 5"/>
    <w:basedOn w:val="TableNormal"/>
    <w:uiPriority w:val="99"/>
    <w:pPr>
      <w:spacing w:after="0"/>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color w:val="404040"/>
      </w:rPr>
      <w:tbl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style>
  <w:style w:type="table" w:styleId="GridTable1Light-Accent6">
    <w:name w:val="Grid Table 1 Light Accent 6"/>
    <w:basedOn w:val="TableNormal"/>
    <w:uiPriority w:val="99"/>
    <w:pPr>
      <w:spacing w:after="0"/>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bl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styleId="GridTable2">
    <w:name w:val="Grid Table 2"/>
    <w:basedOn w:val="TableNormal"/>
    <w:uiPriority w:val="99"/>
    <w:pPr>
      <w:spacing w:after="0"/>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color="000000" w:sz="4" w:space="0"/>
          <w:left w:val="none" w:color="000000" w:sz="4" w:space="0"/>
          <w:bottom w:val="single" w:color="6A6A6A" w:themeColor="text1" w:themeTint="95" w:sz="12" w:space="0"/>
          <w:right w:val="none" w:color="000000" w:sz="4" w:space="0"/>
        </w:tcBorders>
        <w:shd w:val="clear" w:color="FFFFFF" w:fill="auto"/>
      </w:tcPr>
    </w:tblStylePr>
    <w:tblStylePr w:type="lastRow">
      <w:rPr>
        <w:b/>
        <w:color w:val="404040"/>
      </w:rPr>
      <w:tblPr/>
      <w:tcPr>
        <w:tcBorders>
          <w:top w:val="single" w:color="6A6A6A" w:themeColor="text1" w:themeTint="95"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color w:val="404040"/>
      </w:rPr>
      <w:tblPr/>
      <w:tcPr>
        <w:tcBorders>
          <w:top w:val="none" w:color="000000" w:sz="4" w:space="0"/>
          <w:left w:val="none" w:color="000000" w:sz="4" w:space="0"/>
          <w:bottom w:val="single" w:color="5D8AC2" w:themeColor="accent1" w:themeTint="EA" w:sz="12" w:space="0"/>
          <w:right w:val="none" w:color="000000" w:sz="4" w:space="0"/>
        </w:tcBorders>
        <w:shd w:val="clear" w:color="FFFFFF" w:fill="auto"/>
      </w:tcPr>
    </w:tblStylePr>
    <w:tblStylePr w:type="lastRow">
      <w:rPr>
        <w:b/>
        <w:color w:val="404040"/>
      </w:rPr>
      <w:tblPr/>
      <w:tcPr>
        <w:tcBorders>
          <w:top w:val="single" w:color="5D8AC2" w:themeColor="accent1" w:themeTint="EA"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val="404040"/>
      </w:rPr>
      <w:tblPr/>
      <w:tcPr>
        <w:tcBorders>
          <w:top w:val="none" w:color="000000" w:sz="4" w:space="0"/>
          <w:left w:val="none" w:color="000000" w:sz="4" w:space="0"/>
          <w:bottom w:val="single" w:color="D99695" w:themeColor="accent2" w:themeTint="97" w:sz="12" w:space="0"/>
          <w:right w:val="none" w:color="000000" w:sz="4" w:space="0"/>
        </w:tcBorders>
        <w:shd w:val="clear" w:color="FFFFFF" w:fill="auto"/>
      </w:tcPr>
    </w:tblStylePr>
    <w:tblStylePr w:type="lastRow">
      <w:rPr>
        <w:b/>
        <w:color w:val="404040"/>
      </w:rPr>
      <w:tblPr/>
      <w:tcPr>
        <w:tcBorders>
          <w:top w:val="single" w:color="D99695" w:themeColor="accent2" w:themeTint="97"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val="404040"/>
      </w:rPr>
      <w:tblPr/>
      <w:tcPr>
        <w:tcBorders>
          <w:top w:val="none" w:color="000000" w:sz="4" w:space="0"/>
          <w:left w:val="none" w:color="000000" w:sz="4" w:space="0"/>
          <w:bottom w:val="single" w:color="9ABB59" w:themeColor="accent3" w:themeTint="FE" w:sz="12" w:space="0"/>
          <w:right w:val="none" w:color="000000" w:sz="4" w:space="0"/>
        </w:tcBorders>
        <w:shd w:val="clear" w:color="FFFFFF" w:fill="auto"/>
      </w:tcPr>
    </w:tblStylePr>
    <w:tblStylePr w:type="lastRow">
      <w:rPr>
        <w:b/>
        <w:color w:val="404040"/>
      </w:rPr>
      <w:tblPr/>
      <w:tcPr>
        <w:tcBorders>
          <w:top w:val="single" w:color="9ABB59" w:themeColor="accent3" w:themeTint="FE"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blPr/>
      <w:tcPr>
        <w:tcBorders>
          <w:top w:val="none" w:color="000000" w:sz="4" w:space="0"/>
          <w:left w:val="none" w:color="000000" w:sz="4" w:space="0"/>
          <w:bottom w:val="single" w:color="B2A1C6" w:themeColor="accent4" w:themeTint="9A" w:sz="12" w:space="0"/>
          <w:right w:val="none" w:color="000000" w:sz="4" w:space="0"/>
        </w:tcBorders>
        <w:shd w:val="clear" w:color="FFFFFF" w:fill="auto"/>
      </w:tcPr>
    </w:tblStylePr>
    <w:tblStylePr w:type="lastRow">
      <w:rPr>
        <w:b/>
        <w:color w:val="404040"/>
      </w:rPr>
      <w:tblPr/>
      <w:tcPr>
        <w:tcBorders>
          <w:top w:val="single" w:color="B2A1C6" w:themeColor="accent4" w:themeTint="9A"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color w:val="404040"/>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color w:val="404040"/>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rFonts w:ascii="Arial" w:hAnsi="Arial"/>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bl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blPr/>
      <w:tcPr>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shd w:val="clear" w:color="5D8AC2" w:themeColor="accent1" w:themeTint="EA" w:fill="5D8AC2" w:themeFill="accent1" w:themeFillTint="EA"/>
      </w:tcPr>
    </w:tblStylePr>
    <w:tblStylePr w:type="lastRow">
      <w:rPr>
        <w:b/>
        <w:color w:val="404040"/>
      </w:rPr>
      <w:tblPr/>
      <w:tcPr>
        <w:tcBorders>
          <w:top w:val="single" w:color="5D8A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rFonts w:ascii="Arial" w:hAnsi="Arial"/>
        <w:b/>
        <w:color w:val="FFFFFF"/>
        <w:sz w:val="22"/>
      </w:rPr>
      <w:tblPr/>
      <w:tcPr>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shd w:val="clear" w:color="D99695" w:themeColor="accent2" w:themeTint="97" w:fill="D99695" w:themeFill="accent2" w:themeFillTint="97"/>
      </w:tcPr>
    </w:tblStylePr>
    <w:tblStylePr w:type="lastRow">
      <w:rPr>
        <w:b/>
        <w:color w:val="404040"/>
      </w:rPr>
      <w:tblPr/>
      <w:tcPr>
        <w:tcBorders>
          <w:top w:val="single" w:color="D996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blPr/>
      <w:tcPr>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shd w:val="clear" w:color="9ABB59" w:themeColor="accent3" w:themeTint="FE" w:fill="9ABB59" w:themeFill="accent3" w:themeFillTint="FE"/>
      </w:tcPr>
    </w:tblStylePr>
    <w:tblStylePr w:type="lastRow">
      <w:rPr>
        <w:b/>
        <w:color w:val="404040"/>
      </w:rPr>
      <w:tblPr/>
      <w:tcPr>
        <w:tcBorders>
          <w:top w:val="single" w:color="9A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bl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bl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bl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bl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GridTable5Dark-Accent1" w:customStyle="1">
    <w:name w:val="Grid Table 5 Dark- Accent 1"/>
    <w:basedOn w:val="TableNormal"/>
    <w:uiPriority w:val="99"/>
    <w:pPr>
      <w:spacing w:after="0"/>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styleId="GridTable5Dark-Accent4" w:customStyle="1">
    <w:name w:val="Grid Table 5 Dark- Accent 4"/>
    <w:basedOn w:val="TableNormal"/>
    <w:uiPriority w:val="99"/>
    <w:pPr>
      <w:spacing w:after="0"/>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blPr/>
      <w:tcPr>
        <w:tcBorders>
          <w:bottom w:val="single" w:color="7F7F7F" w:themeColor="text1" w:themeTint="80" w:sz="12" w:space="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6BFDD" w:themeColor="accent1" w:themeTint="80" w:themeShade="95"/>
      </w:rPr>
      <w:tblPr/>
      <w:tcPr>
        <w:tcBorders>
          <w:bottom w:val="single" w:color="A6BFDD" w:themeColor="accent1" w:themeTint="80" w:sz="12" w:space="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val="D99695" w:themeColor="accent2" w:themeTint="97" w:themeShade="95"/>
      </w:rPr>
      <w:tblPr/>
      <w:tcPr>
        <w:tcBorders>
          <w:bottom w:val="single" w:color="D99695" w:themeColor="accent2" w:themeTint="97" w:sz="12" w:space="0"/>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val="9ABB59" w:themeColor="accent3" w:themeTint="FE" w:themeShade="95"/>
      </w:rPr>
      <w:tblPr/>
      <w:tcPr>
        <w:tcBorders>
          <w:bottom w:val="single" w:color="9ABB59" w:themeColor="accent3" w:themeTint="FE" w:sz="12" w:space="0"/>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2A1C6" w:themeColor="accent4" w:themeTint="9A" w:themeShade="95"/>
      </w:rPr>
      <w:tblPr/>
      <w:tcPr>
        <w:tcBorders>
          <w:bottom w:val="single" w:color="B2A1C6" w:themeColor="accent4" w:themeTint="9A" w:sz="12" w:space="0"/>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9" w:themeColor="accent5" w:themeShade="95"/>
      </w:rPr>
      <w:tblPr/>
      <w:tcPr>
        <w:tcBorders>
          <w:bottom w:val="single" w:color="4BACC6" w:themeColor="accent5" w:sz="12" w:space="0"/>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9" w:themeColor="accent5" w:themeShade="95"/>
      </w:rPr>
      <w:tblPr/>
      <w:tcPr>
        <w:tcBorders>
          <w:bottom w:val="single" w:color="F79646" w:themeColor="accent6" w:sz="12" w:space="0"/>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rFonts w:ascii="Arial" w:hAnsi="Arial"/>
        <w:b/>
        <w:color w:val="7F7F7F" w:themeColor="text1" w:themeTint="80" w:themeShade="95"/>
        <w:sz w:val="22"/>
      </w:rPr>
      <w:tblPr/>
      <w:tcPr>
        <w:tcBorders>
          <w:top w:val="none" w:color="auto" w:sz="0" w:space="0"/>
          <w:left w:val="none" w:color="auto" w:sz="0" w:space="0"/>
          <w:bottom w:val="single" w:color="7F7F7F" w:themeColor="text1" w:themeTint="80" w:sz="4" w:space="0"/>
          <w:right w:val="none" w:color="auto" w:sz="0" w:space="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color="7F7F7F" w:themeColor="text1" w:themeTint="80" w:sz="4" w:space="0"/>
          <w:left w:val="none" w:color="auto" w:sz="0" w:space="0"/>
          <w:bottom w:val="none" w:color="auto" w:sz="0" w:space="0"/>
          <w:right w:val="none" w:color="auto" w:sz="0" w:space="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color="auto" w:sz="0" w:space="0"/>
          <w:left w:val="none" w:color="auto" w:sz="0" w:space="0"/>
          <w:bottom w:val="none" w:color="auto" w:sz="0" w:space="0"/>
          <w:right w:val="single" w:color="7F7F7F" w:themeColor="text1" w:themeTint="80" w:sz="4" w:space="0"/>
        </w:tcBorders>
        <w:shd w:val="clear" w:color="FFFFFF" w:fill="auto"/>
      </w:tcPr>
    </w:tblStylePr>
    <w:tblStylePr w:type="lastCol">
      <w:rPr>
        <w:rFonts w:ascii="Arial" w:hAnsi="Arial"/>
        <w:i/>
        <w:color w:val="7F7F7F" w:themeColor="text1" w:themeTint="80" w:themeShade="95"/>
        <w:sz w:val="22"/>
      </w:rPr>
      <w:tblPr/>
      <w:tcPr>
        <w:tcBorders>
          <w:top w:val="none" w:color="auto" w:sz="0" w:space="0"/>
          <w:left w:val="single" w:color="7F7F7F" w:themeColor="text1" w:themeTint="80" w:sz="4" w:space="0"/>
          <w:bottom w:val="none" w:color="auto" w:sz="0" w:space="0"/>
          <w:right w:val="none" w:color="auto" w:sz="0" w:space="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6BFDD" w:themeColor="accent1" w:themeTint="80" w:themeShade="95"/>
        <w:sz w:val="22"/>
      </w:rPr>
      <w:tblPr/>
      <w:tcPr>
        <w:tcBorders>
          <w:top w:val="none" w:color="auto" w:sz="0" w:space="0"/>
          <w:left w:val="none" w:color="auto" w:sz="0" w:space="0"/>
          <w:bottom w:val="single" w:color="A6BFDD" w:themeColor="accent1" w:themeTint="80" w:sz="4" w:space="0"/>
          <w:right w:val="none" w:color="auto" w:sz="0" w:space="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color="A6BFDD" w:themeColor="accent1" w:themeTint="80" w:sz="4" w:space="0"/>
          <w:left w:val="none" w:color="auto" w:sz="0" w:space="0"/>
          <w:bottom w:val="none" w:color="auto" w:sz="0" w:space="0"/>
          <w:right w:val="none" w:color="auto" w:sz="0" w:space="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color="auto" w:sz="0" w:space="0"/>
          <w:left w:val="none" w:color="auto" w:sz="0" w:space="0"/>
          <w:bottom w:val="none" w:color="auto" w:sz="0" w:space="0"/>
          <w:right w:val="single" w:color="A6BFDD" w:themeColor="accent1" w:themeTint="80" w:sz="4" w:space="0"/>
        </w:tcBorders>
        <w:shd w:val="clear" w:color="FFFFFF" w:fill="auto"/>
      </w:tcPr>
    </w:tblStylePr>
    <w:tblStylePr w:type="lastCol">
      <w:rPr>
        <w:rFonts w:ascii="Arial" w:hAnsi="Arial"/>
        <w:i/>
        <w:color w:val="A6BFDD" w:themeColor="accent1" w:themeTint="80" w:themeShade="95"/>
        <w:sz w:val="22"/>
      </w:rPr>
      <w:tblPr/>
      <w:tcPr>
        <w:tcBorders>
          <w:top w:val="none" w:color="auto" w:sz="0" w:space="0"/>
          <w:left w:val="single" w:color="A6BFDD" w:themeColor="accent1" w:themeTint="80" w:sz="4" w:space="0"/>
          <w:bottom w:val="none" w:color="auto" w:sz="0" w:space="0"/>
          <w:right w:val="none" w:color="auto" w:sz="0" w:space="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rFonts w:ascii="Arial" w:hAnsi="Arial"/>
        <w:b/>
        <w:color w:val="D99695" w:themeColor="accent2" w:themeTint="97" w:themeShade="95"/>
        <w:sz w:val="22"/>
      </w:rPr>
      <w:tblPr/>
      <w:tcPr>
        <w:tcBorders>
          <w:top w:val="none" w:color="auto" w:sz="0" w:space="0"/>
          <w:left w:val="none" w:color="auto" w:sz="0" w:space="0"/>
          <w:bottom w:val="single" w:color="D99695" w:themeColor="accent2" w:themeTint="97" w:sz="4" w:space="0"/>
          <w:right w:val="none" w:color="auto" w:sz="0" w:space="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color="D99695" w:themeColor="accent2" w:themeTint="97" w:sz="4" w:space="0"/>
          <w:left w:val="none" w:color="auto" w:sz="0" w:space="0"/>
          <w:bottom w:val="none" w:color="auto" w:sz="0" w:space="0"/>
          <w:right w:val="none" w:color="auto" w:sz="0" w:space="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color="auto" w:sz="0" w:space="0"/>
          <w:left w:val="none" w:color="auto" w:sz="0" w:space="0"/>
          <w:bottom w:val="none" w:color="auto" w:sz="0" w:space="0"/>
          <w:right w:val="single" w:color="D99695" w:themeColor="accent2" w:themeTint="97" w:sz="4" w:space="0"/>
        </w:tcBorders>
        <w:shd w:val="clear" w:color="FFFFFF" w:fill="auto"/>
      </w:tcPr>
    </w:tblStylePr>
    <w:tblStylePr w:type="lastCol">
      <w:rPr>
        <w:rFonts w:ascii="Arial" w:hAnsi="Arial"/>
        <w:i/>
        <w:color w:val="D99695" w:themeColor="accent2" w:themeTint="97" w:themeShade="95"/>
        <w:sz w:val="22"/>
      </w:rPr>
      <w:tblPr/>
      <w:tcPr>
        <w:tcBorders>
          <w:top w:val="none" w:color="auto" w:sz="0" w:space="0"/>
          <w:left w:val="single" w:color="D99695" w:themeColor="accent2" w:themeTint="97" w:sz="4" w:space="0"/>
          <w:bottom w:val="none" w:color="auto" w:sz="0" w:space="0"/>
          <w:right w:val="none" w:color="auto" w:sz="0" w:space="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rFonts w:ascii="Arial" w:hAnsi="Arial"/>
        <w:b/>
        <w:color w:val="9ABB59" w:themeColor="accent3" w:themeTint="FE" w:themeShade="95"/>
        <w:sz w:val="22"/>
      </w:rPr>
      <w:tblPr/>
      <w:tcPr>
        <w:tcBorders>
          <w:top w:val="none" w:color="auto" w:sz="0" w:space="0"/>
          <w:left w:val="none" w:color="auto" w:sz="0" w:space="0"/>
          <w:bottom w:val="single" w:color="9ABB59" w:themeColor="accent3" w:themeTint="FE" w:sz="4" w:space="0"/>
          <w:right w:val="none" w:color="auto" w:sz="0" w:space="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color="9ABB59" w:themeColor="accent3" w:themeTint="FE" w:sz="4" w:space="0"/>
          <w:left w:val="none" w:color="auto" w:sz="0" w:space="0"/>
          <w:bottom w:val="none" w:color="auto" w:sz="0" w:space="0"/>
          <w:right w:val="none" w:color="auto" w:sz="0" w:space="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color="auto" w:sz="0" w:space="0"/>
          <w:left w:val="none" w:color="auto" w:sz="0" w:space="0"/>
          <w:bottom w:val="none" w:color="auto" w:sz="0" w:space="0"/>
          <w:right w:val="single" w:color="9ABB59" w:themeColor="accent3" w:themeTint="FE" w:sz="4" w:space="0"/>
        </w:tcBorders>
        <w:shd w:val="clear" w:color="FFFFFF" w:fill="auto"/>
      </w:tcPr>
    </w:tblStylePr>
    <w:tblStylePr w:type="lastCol">
      <w:rPr>
        <w:rFonts w:ascii="Arial" w:hAnsi="Arial"/>
        <w:i/>
        <w:color w:val="9ABB59" w:themeColor="accent3" w:themeTint="FE" w:themeShade="95"/>
        <w:sz w:val="22"/>
      </w:rPr>
      <w:tblPr/>
      <w:tcPr>
        <w:tcBorders>
          <w:top w:val="none" w:color="auto" w:sz="0" w:space="0"/>
          <w:left w:val="single" w:color="9ABB59" w:themeColor="accent3" w:themeTint="FE" w:sz="4" w:space="0"/>
          <w:bottom w:val="none" w:color="auto" w:sz="0" w:space="0"/>
          <w:right w:val="none" w:color="auto" w:sz="0" w:space="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2A1C6" w:themeColor="accent4" w:themeTint="9A" w:themeShade="95"/>
        <w:sz w:val="22"/>
      </w:rPr>
      <w:tblPr/>
      <w:tcPr>
        <w:tcBorders>
          <w:top w:val="none" w:color="auto" w:sz="0" w:space="0"/>
          <w:left w:val="none" w:color="auto" w:sz="0" w:space="0"/>
          <w:bottom w:val="single" w:color="B2A1C6" w:themeColor="accent4" w:themeTint="9A" w:sz="4" w:space="0"/>
          <w:right w:val="none" w:color="auto" w:sz="0" w:space="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color="B2A1C6" w:themeColor="accent4" w:themeTint="9A" w:sz="4" w:space="0"/>
          <w:left w:val="none" w:color="auto" w:sz="0" w:space="0"/>
          <w:bottom w:val="none" w:color="auto" w:sz="0" w:space="0"/>
          <w:right w:val="none" w:color="auto" w:sz="0" w:space="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color="auto" w:sz="0" w:space="0"/>
          <w:left w:val="none" w:color="auto" w:sz="0" w:space="0"/>
          <w:bottom w:val="none" w:color="auto" w:sz="0" w:space="0"/>
          <w:right w:val="single" w:color="B2A1C6" w:themeColor="accent4" w:themeTint="9A" w:sz="4" w:space="0"/>
        </w:tcBorders>
        <w:shd w:val="clear" w:color="FFFFFF" w:fill="auto"/>
      </w:tcPr>
    </w:tblStylePr>
    <w:tblStylePr w:type="lastCol">
      <w:rPr>
        <w:rFonts w:ascii="Arial" w:hAnsi="Arial"/>
        <w:i/>
        <w:color w:val="B2A1C6" w:themeColor="accent4" w:themeTint="9A" w:themeShade="95"/>
        <w:sz w:val="22"/>
      </w:rPr>
      <w:tblPr/>
      <w:tcPr>
        <w:tcBorders>
          <w:top w:val="none" w:color="auto" w:sz="0" w:space="0"/>
          <w:left w:val="single" w:color="B2A1C6" w:themeColor="accent4" w:themeTint="9A" w:sz="4" w:space="0"/>
          <w:bottom w:val="none" w:color="auto" w:sz="0" w:space="0"/>
          <w:right w:val="none" w:color="auto" w:sz="0" w:space="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9" w:themeColor="accent5" w:themeShade="95"/>
        <w:sz w:val="22"/>
      </w:rPr>
      <w:tblPr/>
      <w:tcPr>
        <w:tcBorders>
          <w:top w:val="none" w:color="auto" w:sz="0" w:space="0"/>
          <w:left w:val="none" w:color="auto" w:sz="0" w:space="0"/>
          <w:bottom w:val="single" w:color="99D0DE" w:themeColor="accent5" w:themeTint="90" w:sz="4" w:space="0"/>
          <w:right w:val="none" w:color="auto" w:sz="0" w:space="0"/>
        </w:tcBorders>
        <w:shd w:val="clear" w:color="FFFFFF" w:themeColor="light1" w:fill="FFFFFF" w:themeFill="light1"/>
      </w:tcPr>
    </w:tblStylePr>
    <w:tblStylePr w:type="lastRow">
      <w:rPr>
        <w:rFonts w:ascii="Arial" w:hAnsi="Arial"/>
        <w:b/>
        <w:color w:val="266779" w:themeColor="accent5" w:themeShade="95"/>
        <w:sz w:val="22"/>
      </w:rPr>
      <w:tblPr/>
      <w:tcPr>
        <w:tcBorders>
          <w:top w:val="single" w:color="99D0DE" w:themeColor="accent5" w:themeTint="90" w:sz="4" w:space="0"/>
          <w:left w:val="none" w:color="auto" w:sz="0" w:space="0"/>
          <w:bottom w:val="none" w:color="auto" w:sz="0" w:space="0"/>
          <w:right w:val="none" w:color="auto" w:sz="0" w:space="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color="auto" w:sz="0" w:space="0"/>
          <w:left w:val="none" w:color="auto" w:sz="0" w:space="0"/>
          <w:bottom w:val="none" w:color="auto" w:sz="0" w:space="0"/>
          <w:right w:val="single" w:color="99D0DE" w:themeColor="accent5" w:themeTint="90" w:sz="4" w:space="0"/>
        </w:tcBorders>
        <w:shd w:val="clear" w:color="FFFFFF" w:fill="auto"/>
      </w:tcPr>
    </w:tblStylePr>
    <w:tblStylePr w:type="lastCol">
      <w:rPr>
        <w:rFonts w:ascii="Arial" w:hAnsi="Arial"/>
        <w:i/>
        <w:color w:val="266779" w:themeColor="accent5" w:themeShade="95"/>
        <w:sz w:val="22"/>
      </w:rPr>
      <w:tblPr/>
      <w:tcPr>
        <w:tcBorders>
          <w:top w:val="none" w:color="auto" w:sz="0" w:space="0"/>
          <w:left w:val="single" w:color="99D0DE" w:themeColor="accent5" w:themeTint="90" w:sz="4" w:space="0"/>
          <w:bottom w:val="none" w:color="auto" w:sz="0" w:space="0"/>
          <w:right w:val="none" w:color="auto" w:sz="0" w:space="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15407" w:themeColor="accent6" w:themeShade="95"/>
        <w:sz w:val="22"/>
      </w:rPr>
      <w:tblPr/>
      <w:tcPr>
        <w:tcBorders>
          <w:top w:val="none" w:color="auto" w:sz="0" w:space="0"/>
          <w:left w:val="none" w:color="auto" w:sz="0" w:space="0"/>
          <w:bottom w:val="single" w:color="FAC396" w:themeColor="accent6" w:themeTint="90" w:sz="4" w:space="0"/>
          <w:right w:val="none" w:color="auto" w:sz="0" w:space="0"/>
        </w:tcBorders>
        <w:shd w:val="clear" w:color="FFFFFF" w:themeColor="light1" w:fill="FFFFFF" w:themeFill="light1"/>
      </w:tcPr>
    </w:tblStylePr>
    <w:tblStylePr w:type="lastRow">
      <w:rPr>
        <w:rFonts w:ascii="Arial" w:hAnsi="Arial"/>
        <w:b/>
        <w:color w:val="B15407" w:themeColor="accent6" w:themeShade="95"/>
        <w:sz w:val="22"/>
      </w:rPr>
      <w:tblPr/>
      <w:tcPr>
        <w:tcBorders>
          <w:top w:val="single" w:color="FAC396" w:themeColor="accent6" w:themeTint="90" w:sz="4" w:space="0"/>
          <w:left w:val="none" w:color="auto" w:sz="0" w:space="0"/>
          <w:bottom w:val="none" w:color="auto" w:sz="0" w:space="0"/>
          <w:right w:val="none" w:color="auto" w:sz="0" w:space="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color="auto" w:sz="0" w:space="0"/>
          <w:left w:val="none" w:color="auto" w:sz="0" w:space="0"/>
          <w:bottom w:val="none" w:color="auto" w:sz="0" w:space="0"/>
          <w:right w:val="single" w:color="FAC396" w:themeColor="accent6" w:themeTint="90" w:sz="4" w:space="0"/>
        </w:tcBorders>
        <w:shd w:val="clear" w:color="FFFFFF" w:fill="auto"/>
      </w:tcPr>
    </w:tblStylePr>
    <w:tblStylePr w:type="lastCol">
      <w:rPr>
        <w:rFonts w:ascii="Arial" w:hAnsi="Arial"/>
        <w:i/>
        <w:color w:val="B15407" w:themeColor="accent6" w:themeShade="95"/>
        <w:sz w:val="22"/>
      </w:rPr>
      <w:tblPr/>
      <w:tcPr>
        <w:tcBorders>
          <w:top w:val="none" w:color="auto" w:sz="0" w:space="0"/>
          <w:left w:val="single" w:color="FAC396" w:themeColor="accent6" w:themeTint="90" w:sz="4" w:space="0"/>
          <w:bottom w:val="none" w:color="auto" w:sz="0" w:space="0"/>
          <w:right w:val="none" w:color="auto" w:sz="0" w:space="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pPr>
    <w:tblPr>
      <w:tblStyleRowBandSize w:val="1"/>
      <w:tblStyleColBandSize w:val="1"/>
    </w:tbl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pPr>
    <w:tblPr>
      <w:tblStyleRowBandSize w:val="1"/>
      <w:tblStyleColBandSize w:val="1"/>
    </w:tblPr>
    <w:tblStylePr w:type="firstRow">
      <w:rPr>
        <w:b/>
        <w:color w:val="404040"/>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color w:val="404040"/>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pPr>
    <w:tblPr>
      <w:tblStyleRowBandSize w:val="1"/>
      <w:tblStyleColBandSize w:val="1"/>
    </w:tblPr>
    <w:tblStylePr w:type="firstRow">
      <w:rPr>
        <w:b/>
        <w:color w:val="404040"/>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color w:val="404040"/>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pPr>
    <w:tblPr>
      <w:tblStyleRowBandSize w:val="1"/>
      <w:tblStyleColBandSize w:val="1"/>
    </w:tblPr>
    <w:tblStylePr w:type="firstRow">
      <w:rPr>
        <w:b/>
        <w:color w:val="404040"/>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color w:val="404040"/>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pPr>
    <w:tblPr>
      <w:tblStyleRowBandSize w:val="1"/>
      <w:tblStyleColBandSize w:val="1"/>
    </w:tblPr>
    <w:tblStylePr w:type="firstRow">
      <w:rPr>
        <w:b/>
        <w:color w:val="404040"/>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color w:val="404040"/>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pPr>
    <w:tblPr>
      <w:tblStyleRowBandSize w:val="1"/>
      <w:tblStyleColBandSize w:val="1"/>
    </w:tblPr>
    <w:tblStylePr w:type="firstRow">
      <w:rPr>
        <w:b/>
        <w:color w:val="404040"/>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color w:val="404040"/>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pPr>
    <w:tblPr>
      <w:tblStyleRowBandSize w:val="1"/>
      <w:tblStyleColBandSize w:val="1"/>
    </w:tblPr>
    <w:tblStylePr w:type="firstRow">
      <w:rPr>
        <w:b/>
        <w:color w:val="404040"/>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color w:val="404040"/>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rFonts w:ascii="Arial" w:hAnsi="Arial"/>
        <w:b/>
        <w:color w:val="404040"/>
        <w:sz w:val="22"/>
      </w:rPr>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Row">
      <w:rPr>
        <w:rFonts w:ascii="Arial" w:hAnsi="Arial"/>
        <w:b/>
        <w:color w:val="404040"/>
        <w:sz w:val="22"/>
      </w:rPr>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Row">
      <w:rPr>
        <w:rFonts w:ascii="Arial" w:hAnsi="Arial"/>
        <w:b/>
        <w:color w:val="404040"/>
        <w:sz w:val="22"/>
      </w:rPr>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rFonts w:ascii="Arial" w:hAnsi="Arial"/>
        <w:b/>
        <w:color w:val="404040"/>
        <w:sz w:val="22"/>
      </w:rPr>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Row">
      <w:rPr>
        <w:rFonts w:ascii="Arial" w:hAnsi="Arial"/>
        <w:b/>
        <w:color w:val="404040"/>
        <w:sz w:val="22"/>
      </w:rPr>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Row">
      <w:rPr>
        <w:rFonts w:ascii="Arial" w:hAnsi="Arial"/>
        <w:b/>
        <w:color w:val="404040"/>
        <w:sz w:val="22"/>
      </w:rPr>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Row">
      <w:rPr>
        <w:rFonts w:ascii="Arial" w:hAnsi="Arial"/>
        <w:b/>
        <w:color w:val="404040"/>
        <w:sz w:val="22"/>
      </w:rPr>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Row">
      <w:rPr>
        <w:rFonts w:ascii="Arial" w:hAnsi="Arial"/>
        <w:b/>
        <w:color w:val="404040"/>
        <w:sz w:val="22"/>
      </w:rPr>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Row">
      <w:rPr>
        <w:rFonts w:ascii="Arial" w:hAnsi="Arial"/>
        <w:b/>
        <w:color w:val="404040"/>
        <w:sz w:val="22"/>
      </w:rPr>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000000" w:themeColor="text1" w:sz="4" w:space="0"/>
          <w:right w:val="single" w:color="000000" w:themeColor="text1" w:sz="4" w:space="0"/>
        </w:tcBorders>
      </w:tcPr>
    </w:tblStylePr>
    <w:tblStylePr w:type="band1Horz">
      <w:rPr>
        <w:rFonts w:ascii="Arial" w:hAnsi="Arial"/>
        <w:color w:val="404040"/>
        <w:sz w:val="22"/>
      </w:rPr>
      <w:tblPr/>
      <w:tcPr>
        <w:tcBorders>
          <w:top w:val="single" w:color="000000" w:themeColor="text1" w:sz="4" w:space="0"/>
          <w:bottom w:val="single" w:color="000000" w:themeColor="text1" w:sz="4" w:space="0"/>
        </w:tcBorders>
      </w:tcPr>
    </w:tblStylePr>
  </w:style>
  <w:style w:type="table" w:styleId="ListTable3-Accent1">
    <w:name w:val="List Table 3 Accent 1"/>
    <w:basedOn w:val="TableNormal"/>
    <w:uiPriority w:val="99"/>
    <w:pPr>
      <w:spacing w:after="0"/>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4F81BD" w:themeColor="accent1" w:sz="4" w:space="0"/>
          <w:right w:val="single" w:color="4F81BD" w:themeColor="accent1" w:sz="4" w:space="0"/>
        </w:tcBorders>
      </w:tcPr>
    </w:tblStylePr>
    <w:tblStylePr w:type="band1Horz">
      <w:rPr>
        <w:rFonts w:ascii="Arial" w:hAnsi="Arial"/>
        <w:color w:val="404040"/>
        <w:sz w:val="22"/>
      </w:rPr>
      <w:tblPr/>
      <w:tcPr>
        <w:tcBorders>
          <w:top w:val="single" w:color="4F81BD" w:themeColor="accent1" w:sz="4" w:space="0"/>
          <w:bottom w:val="single" w:color="4F81BD" w:themeColor="accent1" w:sz="4" w:space="0"/>
        </w:tcBorders>
      </w:tcPr>
    </w:tblStylePr>
  </w:style>
  <w:style w:type="table" w:styleId="ListTable3-Accent2">
    <w:name w:val="List Table 3 Accent 2"/>
    <w:basedOn w:val="TableNormal"/>
    <w:uiPriority w:val="99"/>
    <w:pPr>
      <w:spacing w:after="0"/>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D99695" w:themeColor="accent2" w:themeTint="97" w:sz="4" w:space="0"/>
          <w:right w:val="single" w:color="D99695" w:themeColor="accent2" w:themeTint="97" w:sz="4" w:space="0"/>
        </w:tcBorders>
      </w:tcPr>
    </w:tblStylePr>
    <w:tblStylePr w:type="band1Horz">
      <w:rPr>
        <w:rFonts w:ascii="Arial" w:hAnsi="Arial"/>
        <w:color w:val="404040"/>
        <w:sz w:val="22"/>
      </w:rPr>
      <w:tblPr/>
      <w:tcPr>
        <w:tcBorders>
          <w:top w:val="single" w:color="D99695" w:themeColor="accent2" w:themeTint="97" w:sz="4" w:space="0"/>
          <w:bottom w:val="single" w:color="D99695" w:themeColor="accent2" w:themeTint="97" w:sz="4" w:space="0"/>
        </w:tcBorders>
      </w:tcPr>
    </w:tblStylePr>
  </w:style>
  <w:style w:type="table" w:styleId="ListTable3-Accent3">
    <w:name w:val="List Table 3 Accent 3"/>
    <w:basedOn w:val="TableNormal"/>
    <w:uiPriority w:val="99"/>
    <w:pPr>
      <w:spacing w:after="0"/>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C3D69B" w:themeColor="accent3" w:themeTint="98" w:sz="4" w:space="0"/>
          <w:right w:val="single" w:color="C3D69B" w:themeColor="accent3" w:themeTint="98" w:sz="4" w:space="0"/>
        </w:tcBorders>
      </w:tcPr>
    </w:tblStylePr>
    <w:tblStylePr w:type="band1Horz">
      <w:rPr>
        <w:rFonts w:ascii="Arial" w:hAnsi="Arial"/>
        <w:color w:val="404040"/>
        <w:sz w:val="22"/>
      </w:rPr>
      <w:tblPr/>
      <w:tcPr>
        <w:tcBorders>
          <w:top w:val="single" w:color="C3D69B" w:themeColor="accent3" w:themeTint="98" w:sz="4" w:space="0"/>
          <w:bottom w:val="single" w:color="C3D69B" w:themeColor="accent3" w:themeTint="98" w:sz="4" w:space="0"/>
        </w:tcBorders>
      </w:tcPr>
    </w:tblStylePr>
  </w:style>
  <w:style w:type="table" w:styleId="ListTable3-Accent4">
    <w:name w:val="List Table 3 Accent 4"/>
    <w:basedOn w:val="TableNormal"/>
    <w:uiPriority w:val="99"/>
    <w:pPr>
      <w:spacing w:after="0"/>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blPr/>
      <w:tcPr>
        <w:tcBorders>
          <w:top w:val="single" w:color="B2A1C6" w:themeColor="accent4" w:themeTint="9A" w:sz="4" w:space="0"/>
          <w:bottom w:val="single" w:color="B2A1C6" w:themeColor="accent4" w:themeTint="9A" w:sz="4" w:space="0"/>
        </w:tcBorders>
      </w:tcPr>
    </w:tblStylePr>
  </w:style>
  <w:style w:type="table" w:styleId="ListTable3-Accent5">
    <w:name w:val="List Table 3 Accent 5"/>
    <w:basedOn w:val="TableNormal"/>
    <w:uiPriority w:val="99"/>
    <w:pPr>
      <w:spacing w:after="0"/>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blPr/>
      <w:tcPr>
        <w:tcBorders>
          <w:top w:val="single" w:color="92CCDC" w:themeColor="accent5" w:themeTint="9A" w:sz="4" w:space="0"/>
          <w:bottom w:val="single" w:color="92CCDC" w:themeColor="accent5" w:themeTint="9A" w:sz="4" w:space="0"/>
        </w:tcBorders>
      </w:tcPr>
    </w:tblStylePr>
  </w:style>
  <w:style w:type="table" w:styleId="ListTable3-Accent6">
    <w:name w:val="List Table 3 Accent 6"/>
    <w:basedOn w:val="TableNormal"/>
    <w:uiPriority w:val="99"/>
    <w:pPr>
      <w:spacing w:after="0"/>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blPr/>
      <w:tcPr>
        <w:tcBorders>
          <w:top w:val="single" w:color="FAC090" w:themeColor="accent6" w:themeTint="98" w:sz="4" w:space="0"/>
          <w:bottom w:val="single" w:color="FAC090" w:themeColor="accent6" w:themeTint="98" w:sz="4" w:space="0"/>
        </w:tcBorders>
      </w:tcPr>
    </w:tblStylePr>
  </w:style>
  <w:style w:type="table" w:styleId="ListTable4">
    <w:name w:val="List Table 4"/>
    <w:basedOn w:val="TableNormal"/>
    <w:uiPriority w:val="99"/>
    <w:pPr>
      <w:spacing w:after="0"/>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color="7F7F7F" w:themeColor="text1" w:themeTint="80" w:sz="32" w:space="0"/>
          <w:bottom w:val="single" w:color="FFFFFF" w:themeColor="light1" w:sz="12" w:space="0"/>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7F7F7F" w:themeColor="text1" w:themeTint="80" w:sz="32" w:space="0"/>
          <w:right w:val="single" w:color="FFFFFF" w:themeColor="light1" w:sz="4" w:space="0"/>
        </w:tcBorders>
      </w:tcPr>
    </w:tblStylePr>
    <w:tblStylePr w:type="lastCol">
      <w:tblPr/>
      <w:tcPr>
        <w:tcBorders>
          <w:left w:val="single" w:color="FFFFFF" w:themeColor="light1" w:sz="4" w:space="0"/>
          <w:right w:val="single" w:color="7F7F7F" w:themeColor="text1" w:themeTint="80" w:sz="32" w:space="0"/>
        </w:tcBorders>
      </w:tcPr>
    </w:tblStylePr>
    <w:tblStylePr w:type="band1Vert">
      <w:tblPr/>
      <w:tcPr>
        <w:tcBorders>
          <w:left w:val="single" w:color="FFFFFF" w:themeColor="light1" w:sz="4" w:space="0"/>
          <w:right w:val="single" w:color="FFFFFF" w:themeColor="light1" w:sz="4" w:space="0"/>
        </w:tcBorders>
        <w:shd w:val="clear" w:color="7F7F7F" w:themeColor="text1" w:themeTint="80"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themeColor="text1" w:themeTint="80" w:fill="7F7F7F" w:themeFill="text1" w:themeFillTint="80"/>
      </w:tcPr>
    </w:tblStylePr>
    <w:tblStylePr w:type="band2Horz">
      <w:tblPr/>
      <w:tcPr>
        <w:tcBorders>
          <w:top w:val="single" w:color="FFFFFF" w:themeColor="light1" w:sz="4" w:space="0"/>
          <w:bottom w:val="single" w:color="FFFFFF" w:themeColor="light1" w:sz="4" w:space="0"/>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blStylePr w:type="firstRow">
      <w:rPr>
        <w:rFonts w:ascii="Arial" w:hAnsi="Arial"/>
        <w:b/>
        <w:color w:val="FFFFFF" w:themeColor="light1"/>
        <w:sz w:val="22"/>
      </w:rPr>
      <w:tbl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themeColor="accent1"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themeColor="accent1" w:fill="4F81BD" w:themeFill="accent1"/>
      </w:tcPr>
    </w:tblStylePr>
    <w:tblStylePr w:type="band2Horz">
      <w:tblPr/>
      <w:tcPr>
        <w:tcBorders>
          <w:top w:val="single" w:color="FFFFFF" w:themeColor="light1" w:sz="4" w:space="0"/>
          <w:bottom w:val="single" w:color="FFFFFF" w:themeColor="light1" w:sz="4" w:space="0"/>
        </w:tcBorders>
        <w:shd w:val="clear" w:color="4F81BD" w:themeColor="accent1" w:fill="4F81BD" w:themeFill="accent1"/>
      </w:tcPr>
    </w:tblStylePr>
  </w:style>
  <w:style w:type="table" w:styleId="ListTable5Dark-Accent2">
    <w:name w:val="List Table 5 Dark Accent 2"/>
    <w:basedOn w:val="TableNormal"/>
    <w:uiPriority w:val="99"/>
    <w:pPr>
      <w:spacing w:after="0"/>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color="D99695" w:themeColor="accent2" w:themeTint="97" w:sz="32" w:space="0"/>
          <w:bottom w:val="single" w:color="FFFFFF" w:themeColor="light1" w:sz="12" w:space="0"/>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D99695" w:themeColor="accent2" w:themeTint="97" w:sz="32" w:space="0"/>
          <w:right w:val="single" w:color="FFFFFF" w:themeColor="light1" w:sz="4" w:space="0"/>
        </w:tcBorders>
      </w:tcPr>
    </w:tblStylePr>
    <w:tblStylePr w:type="lastCol">
      <w:tblPr/>
      <w:tcPr>
        <w:tcBorders>
          <w:left w:val="single" w:color="FFFFFF" w:themeColor="light1" w:sz="4" w:space="0"/>
          <w:right w:val="single" w:color="D99695" w:themeColor="accent2" w:themeTint="97" w:sz="32" w:space="0"/>
        </w:tcBorders>
      </w:tcPr>
    </w:tblStylePr>
    <w:tblStylePr w:type="band1Vert">
      <w:tblPr/>
      <w:tcPr>
        <w:tcBorders>
          <w:left w:val="single" w:color="FFFFFF" w:themeColor="light1" w:sz="4" w:space="0"/>
          <w:right w:val="single" w:color="FFFFFF" w:themeColor="light1" w:sz="4" w:space="0"/>
        </w:tcBorders>
        <w:shd w:val="clear" w:color="D99695" w:themeColor="accent2" w:themeTint="97"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themeColor="accent2" w:themeTint="97"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color="C3D69B" w:themeColor="accent3" w:themeTint="98" w:sz="32" w:space="0"/>
          <w:bottom w:val="single" w:color="FFFFFF" w:themeColor="light1" w:sz="12" w:space="0"/>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C3D69B" w:themeColor="accent3" w:themeTint="98" w:sz="32" w:space="0"/>
          <w:right w:val="single" w:color="FFFFFF" w:themeColor="light1" w:sz="4" w:space="0"/>
        </w:tcBorders>
      </w:tcPr>
    </w:tblStylePr>
    <w:tblStylePr w:type="lastCol">
      <w:tblPr/>
      <w:tcPr>
        <w:tcBorders>
          <w:left w:val="single" w:color="FFFFFF" w:themeColor="light1" w:sz="4" w:space="0"/>
          <w:right w:val="single" w:color="C3D69B" w:themeColor="accent3" w:themeTint="98" w:sz="32" w:space="0"/>
        </w:tcBorders>
      </w:tcPr>
    </w:tblStylePr>
    <w:tblStylePr w:type="band1Vert">
      <w:tblPr/>
      <w:tcPr>
        <w:tcBorders>
          <w:left w:val="single" w:color="FFFFFF" w:themeColor="light1" w:sz="4" w:space="0"/>
          <w:right w:val="single" w:color="FFFFFF" w:themeColor="light1" w:sz="4" w:space="0"/>
        </w:tcBorders>
        <w:shd w:val="clear" w:color="C3D69B" w:themeColor="accent3" w:themeTint="98"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themeColor="accent3" w:themeTint="98"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B2A1C6" w:themeColor="accent4" w:themeTint="9A" w:sz="32" w:space="0"/>
          <w:right w:val="single" w:color="FFFFFF" w:themeColor="light1" w:sz="4" w:space="0"/>
        </w:tcBorders>
      </w:tcPr>
    </w:tblStylePr>
    <w:tblStylePr w:type="lastCol">
      <w:tblPr/>
      <w:tcPr>
        <w:tcBorders>
          <w:left w:val="single" w:color="FFFFFF" w:themeColor="light1" w:sz="4" w:space="0"/>
          <w:right w:val="single" w:color="B2A1C6" w:themeColor="accent4" w:themeTint="9A" w:sz="32" w:space="0"/>
        </w:tcBorders>
      </w:tcPr>
    </w:tblStylePr>
    <w:tblStylePr w:type="band1Vert">
      <w:tblPr/>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92CCDC" w:themeColor="accent5" w:themeTint="9A" w:sz="32" w:space="0"/>
          <w:right w:val="single" w:color="FFFFFF" w:themeColor="light1" w:sz="4" w:space="0"/>
        </w:tcBorders>
      </w:tcPr>
    </w:tblStylePr>
    <w:tblStylePr w:type="lastCol">
      <w:tblPr/>
      <w:tcPr>
        <w:tcBorders>
          <w:left w:val="single" w:color="FFFFFF" w:themeColor="light1" w:sz="4" w:space="0"/>
          <w:right w:val="single" w:color="92CCDC" w:themeColor="accent5" w:themeTint="9A" w:sz="32" w:space="0"/>
        </w:tcBorders>
      </w:tcPr>
    </w:tblStylePr>
    <w:tblStylePr w:type="band1Vert">
      <w:tblPr/>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color="FAC090" w:themeColor="accent6" w:themeTint="98" w:sz="32" w:space="0"/>
          <w:right w:val="single" w:color="FFFFFF" w:themeColor="light1" w:sz="4" w:space="0"/>
        </w:tcBorders>
      </w:tcPr>
    </w:tblStylePr>
    <w:tblStylePr w:type="lastCol">
      <w:tblPr/>
      <w:tcPr>
        <w:tcBorders>
          <w:left w:val="single" w:color="FFFFFF" w:themeColor="light1" w:sz="4" w:space="0"/>
          <w:right w:val="single" w:color="FAC090" w:themeColor="accent6" w:themeTint="98" w:sz="32" w:space="0"/>
        </w:tcBorders>
      </w:tcPr>
    </w:tblStylePr>
    <w:tblStylePr w:type="band1Vert">
      <w:tblPr/>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blPr/>
      <w:tcPr>
        <w:tcBorders>
          <w:bottom w:val="single" w:color="7F7F7F" w:themeColor="text1" w:themeTint="80" w:sz="4" w:space="0"/>
        </w:tcBorders>
      </w:tcPr>
    </w:tblStylePr>
    <w:tblStylePr w:type="lastRow">
      <w:rPr>
        <w:b/>
        <w:color w:val="000000" w:themeColor="text1"/>
      </w:rPr>
      <w:tblPr/>
      <w:tcPr>
        <w:tcBorders>
          <w:top w:val="single" w:color="7F7F7F" w:themeColor="text1" w:themeTint="80" w:sz="4" w:space="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pPr>
    <w:tblPr>
      <w:tblStyleRowBandSize w:val="1"/>
      <w:tblStyleColBandSize w:val="1"/>
      <w:tblBorders>
        <w:top w:val="single" w:color="4F81BD" w:themeColor="accent1" w:sz="4" w:space="0"/>
        <w:bottom w:val="single" w:color="4F81BD" w:themeColor="accent1" w:sz="4" w:space="0"/>
      </w:tblBorders>
    </w:tblPr>
    <w:tblStylePr w:type="firstRow">
      <w:rPr>
        <w:b/>
        <w:color w:val="2A4A71" w:themeColor="accent1" w:themeShade="95"/>
      </w:rPr>
      <w:tblPr/>
      <w:tcPr>
        <w:tcBorders>
          <w:bottom w:val="single" w:color="4F81BD" w:themeColor="accent1" w:sz="4" w:space="0"/>
        </w:tcBorders>
      </w:tcPr>
    </w:tblStylePr>
    <w:tblStylePr w:type="lastRow">
      <w:rPr>
        <w:b/>
        <w:color w:val="2A4A71" w:themeColor="accent1" w:themeShade="95"/>
      </w:rPr>
      <w:tblPr/>
      <w:tcPr>
        <w:tcBorders>
          <w:top w:val="single" w:color="4F81BD" w:themeColor="accent1" w:sz="4" w:space="0"/>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pPr>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val="D99695" w:themeColor="accent2" w:themeTint="97" w:themeShade="95"/>
      </w:rPr>
      <w:tblPr/>
      <w:tcPr>
        <w:tcBorders>
          <w:bottom w:val="single" w:color="D99695" w:themeColor="accent2" w:themeTint="97" w:sz="4" w:space="0"/>
        </w:tcBorders>
      </w:tcPr>
    </w:tblStylePr>
    <w:tblStylePr w:type="lastRow">
      <w:rPr>
        <w:b/>
        <w:color w:val="D99695" w:themeColor="accent2" w:themeTint="97" w:themeShade="95"/>
      </w:rPr>
      <w:tblPr/>
      <w:tcPr>
        <w:tcBorders>
          <w:top w:val="single" w:color="D99695" w:themeColor="accent2" w:themeTint="97" w:sz="4" w:space="0"/>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pPr>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val="C3D69B" w:themeColor="accent3" w:themeTint="98" w:themeShade="95"/>
      </w:rPr>
      <w:tblPr/>
      <w:tcPr>
        <w:tcBorders>
          <w:bottom w:val="single" w:color="C3D69B" w:themeColor="accent3" w:themeTint="98" w:sz="4" w:space="0"/>
        </w:tcBorders>
      </w:tcPr>
    </w:tblStylePr>
    <w:tblStylePr w:type="lastRow">
      <w:rPr>
        <w:b/>
        <w:color w:val="C3D69B" w:themeColor="accent3" w:themeTint="98" w:themeShade="95"/>
      </w:rPr>
      <w:tblPr/>
      <w:tcPr>
        <w:tcBorders>
          <w:top w:val="single" w:color="C3D69B" w:themeColor="accent3" w:themeTint="98" w:sz="4" w:space="0"/>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pPr>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val="B2A1C6" w:themeColor="accent4" w:themeTint="9A" w:themeShade="95"/>
      </w:rPr>
      <w:tblPr/>
      <w:tcPr>
        <w:tcBorders>
          <w:bottom w:val="single" w:color="B2A1C6" w:themeColor="accent4" w:themeTint="9A" w:sz="4" w:space="0"/>
        </w:tcBorders>
      </w:tcPr>
    </w:tblStylePr>
    <w:tblStylePr w:type="lastRow">
      <w:rPr>
        <w:b/>
        <w:color w:val="B2A1C6" w:themeColor="accent4" w:themeTint="9A" w:themeShade="95"/>
      </w:rPr>
      <w:tblPr/>
      <w:tcPr>
        <w:tcBorders>
          <w:top w:val="single" w:color="B2A1C6" w:themeColor="accent4" w:themeTint="9A" w:sz="4" w:space="0"/>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pPr>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val="92CCDC" w:themeColor="accent5" w:themeTint="9A" w:themeShade="95"/>
      </w:rPr>
      <w:tblPr/>
      <w:tcPr>
        <w:tcBorders>
          <w:bottom w:val="single" w:color="92CCDC" w:themeColor="accent5" w:themeTint="9A" w:sz="4" w:space="0"/>
        </w:tcBorders>
      </w:tcPr>
    </w:tblStylePr>
    <w:tblStylePr w:type="lastRow">
      <w:rPr>
        <w:b/>
        <w:color w:val="92CCDC" w:themeColor="accent5" w:themeTint="9A" w:themeShade="95"/>
      </w:rPr>
      <w:tblPr/>
      <w:tcPr>
        <w:tcBorders>
          <w:top w:val="single" w:color="92CCDC" w:themeColor="accent5" w:themeTint="9A" w:sz="4" w:space="0"/>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pPr>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val="FAC090" w:themeColor="accent6" w:themeTint="98" w:themeShade="95"/>
      </w:rPr>
      <w:tblPr/>
      <w:tcPr>
        <w:tcBorders>
          <w:bottom w:val="single" w:color="FAC090" w:themeColor="accent6" w:themeTint="98" w:sz="4" w:space="0"/>
        </w:tcBorders>
      </w:tcPr>
    </w:tblStylePr>
    <w:tblStylePr w:type="lastRow">
      <w:rPr>
        <w:b/>
        <w:color w:val="FAC090" w:themeColor="accent6" w:themeTint="98" w:themeShade="95"/>
      </w:rPr>
      <w:tblPr/>
      <w:tcPr>
        <w:tcBorders>
          <w:top w:val="single" w:color="FAC090" w:themeColor="accent6" w:themeTint="98" w:sz="4" w:space="0"/>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pPr>
    <w:tblPr>
      <w:tblStyleRowBandSize w:val="1"/>
      <w:tblStyleColBandSize w:val="1"/>
      <w:tblBorders>
        <w:right w:val="single" w:color="7F7F7F" w:themeColor="text1" w:themeTint="80" w:sz="4" w:space="0"/>
      </w:tblBorders>
    </w:tblPr>
    <w:tblStylePr w:type="firstRow">
      <w:rPr>
        <w:rFonts w:ascii="Arial" w:hAnsi="Arial"/>
        <w:i/>
        <w:color w:val="7F7F7F" w:themeColor="text1" w:themeTint="80" w:themeShade="95"/>
        <w:sz w:val="22"/>
      </w:rPr>
      <w:tblPr/>
      <w:tcPr>
        <w:tcBorders>
          <w:top w:val="none" w:color="auto" w:sz="0" w:space="0"/>
          <w:left w:val="none" w:color="auto" w:sz="0" w:space="0"/>
          <w:bottom w:val="single" w:color="7F7F7F" w:themeColor="text1" w:themeTint="80" w:sz="4" w:space="0"/>
          <w:right w:val="none" w:color="auto" w:sz="0" w:space="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color="7F7F7F" w:themeColor="text1" w:themeTint="80" w:sz="4" w:space="0"/>
          <w:left w:val="none" w:color="auto" w:sz="0" w:space="0"/>
          <w:bottom w:val="none" w:color="auto" w:sz="0" w:space="0"/>
          <w:right w:val="none" w:color="auto" w:sz="0" w:space="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color="auto" w:sz="0" w:space="0"/>
          <w:left w:val="none" w:color="auto" w:sz="0" w:space="0"/>
          <w:bottom w:val="none" w:color="auto" w:sz="0" w:space="0"/>
          <w:right w:val="single" w:color="7F7F7F" w:themeColor="text1" w:themeTint="80" w:sz="4" w:space="0"/>
        </w:tcBorders>
        <w:shd w:val="clear" w:color="FFFFFF" w:fill="auto"/>
      </w:tcPr>
    </w:tblStylePr>
    <w:tblStylePr w:type="lastCol">
      <w:rPr>
        <w:rFonts w:ascii="Arial" w:hAnsi="Arial"/>
        <w:i/>
        <w:color w:val="7F7F7F" w:themeColor="text1" w:themeTint="80" w:themeShade="95"/>
        <w:sz w:val="22"/>
      </w:rPr>
      <w:tblPr/>
      <w:tcPr>
        <w:tcBorders>
          <w:top w:val="none" w:color="auto" w:sz="0" w:space="0"/>
          <w:left w:val="single" w:color="7F7F7F" w:themeColor="text1" w:themeTint="80" w:sz="4" w:space="0"/>
          <w:bottom w:val="none" w:color="auto" w:sz="0" w:space="0"/>
          <w:right w:val="none" w:color="auto" w:sz="0" w:space="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pPr>
    <w:tblPr>
      <w:tblStyleRowBandSize w:val="1"/>
      <w:tblStyleColBandSize w:val="1"/>
      <w:tblBorders>
        <w:right w:val="single" w:color="4F81BD" w:themeColor="accent1" w:sz="4" w:space="0"/>
      </w:tblBorders>
    </w:tblPr>
    <w:tblStylePr w:type="firstRow">
      <w:rPr>
        <w:rFonts w:ascii="Arial" w:hAnsi="Arial"/>
        <w:i/>
        <w:color w:val="2A4A71" w:themeColor="accent1" w:themeShade="95"/>
        <w:sz w:val="22"/>
      </w:rPr>
      <w:tblPr/>
      <w:tcPr>
        <w:tcBorders>
          <w:top w:val="none" w:color="auto" w:sz="0" w:space="0"/>
          <w:left w:val="none" w:color="auto" w:sz="0" w:space="0"/>
          <w:bottom w:val="single" w:color="4F81BD" w:themeColor="accent1" w:sz="4" w:space="0"/>
          <w:right w:val="none" w:color="auto" w:sz="0" w:space="0"/>
        </w:tcBorders>
        <w:shd w:val="clear" w:color="FFFFFF" w:themeColor="light1" w:fill="FFFFFF" w:themeFill="light1"/>
      </w:tcPr>
    </w:tblStylePr>
    <w:tblStylePr w:type="lastRow">
      <w:rPr>
        <w:rFonts w:ascii="Arial" w:hAnsi="Arial"/>
        <w:i/>
        <w:color w:val="2A4A71" w:themeColor="accent1" w:themeShade="95"/>
        <w:sz w:val="22"/>
      </w:rPr>
      <w:tblPr/>
      <w:tcPr>
        <w:tcBorders>
          <w:top w:val="single" w:color="4F81BD" w:themeColor="accent1" w:sz="4" w:space="0"/>
          <w:left w:val="none" w:color="auto" w:sz="0" w:space="0"/>
          <w:bottom w:val="none" w:color="auto" w:sz="0" w:space="0"/>
          <w:right w:val="none" w:color="auto" w:sz="0" w:space="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color="auto" w:sz="0" w:space="0"/>
          <w:left w:val="none" w:color="auto" w:sz="0" w:space="0"/>
          <w:bottom w:val="none" w:color="auto" w:sz="0" w:space="0"/>
          <w:right w:val="single" w:color="4F81BD" w:themeColor="accent1" w:sz="4" w:space="0"/>
        </w:tcBorders>
        <w:shd w:val="clear" w:color="FFFFFF" w:fill="auto"/>
      </w:tcPr>
    </w:tblStylePr>
    <w:tblStylePr w:type="lastCol">
      <w:rPr>
        <w:rFonts w:ascii="Arial" w:hAnsi="Arial"/>
        <w:i/>
        <w:color w:val="2A4A71" w:themeColor="accent1" w:themeShade="95"/>
        <w:sz w:val="22"/>
      </w:rPr>
      <w:tblPr/>
      <w:tcPr>
        <w:tcBorders>
          <w:top w:val="none" w:color="auto" w:sz="0" w:space="0"/>
          <w:left w:val="single" w:color="4F81BD" w:themeColor="accent1" w:sz="4" w:space="0"/>
          <w:bottom w:val="none" w:color="auto" w:sz="0" w:space="0"/>
          <w:right w:val="none" w:color="auto" w:sz="0" w:space="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pPr>
    <w:tblPr>
      <w:tblStyleRowBandSize w:val="1"/>
      <w:tblStyleColBandSize w:val="1"/>
      <w:tblBorders>
        <w:right w:val="single" w:color="D99695" w:themeColor="accent2" w:themeTint="97" w:sz="4" w:space="0"/>
      </w:tblBorders>
    </w:tblPr>
    <w:tblStylePr w:type="firstRow">
      <w:rPr>
        <w:rFonts w:ascii="Arial" w:hAnsi="Arial"/>
        <w:i/>
        <w:color w:val="D99695" w:themeColor="accent2" w:themeTint="97" w:themeShade="95"/>
        <w:sz w:val="22"/>
      </w:rPr>
      <w:tblPr/>
      <w:tcPr>
        <w:tcBorders>
          <w:top w:val="none" w:color="auto" w:sz="0" w:space="0"/>
          <w:left w:val="none" w:color="auto" w:sz="0" w:space="0"/>
          <w:bottom w:val="single" w:color="D99695" w:themeColor="accent2" w:themeTint="97" w:sz="4" w:space="0"/>
          <w:right w:val="none" w:color="auto" w:sz="0" w:space="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color="D99695" w:themeColor="accent2" w:themeTint="97" w:sz="4" w:space="0"/>
          <w:left w:val="none" w:color="auto" w:sz="0" w:space="0"/>
          <w:bottom w:val="none" w:color="auto" w:sz="0" w:space="0"/>
          <w:right w:val="none" w:color="auto" w:sz="0" w:space="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color="auto" w:sz="0" w:space="0"/>
          <w:left w:val="none" w:color="auto" w:sz="0" w:space="0"/>
          <w:bottom w:val="none" w:color="auto" w:sz="0" w:space="0"/>
          <w:right w:val="single" w:color="D99695" w:themeColor="accent2" w:themeTint="97" w:sz="4" w:space="0"/>
        </w:tcBorders>
        <w:shd w:val="clear" w:color="FFFFFF" w:fill="auto"/>
      </w:tcPr>
    </w:tblStylePr>
    <w:tblStylePr w:type="lastCol">
      <w:rPr>
        <w:rFonts w:ascii="Arial" w:hAnsi="Arial"/>
        <w:i/>
        <w:color w:val="D99695" w:themeColor="accent2" w:themeTint="97" w:themeShade="95"/>
        <w:sz w:val="22"/>
      </w:rPr>
      <w:tblPr/>
      <w:tcPr>
        <w:tcBorders>
          <w:top w:val="none" w:color="auto" w:sz="0" w:space="0"/>
          <w:left w:val="single" w:color="D99695" w:themeColor="accent2" w:themeTint="97" w:sz="4" w:space="0"/>
          <w:bottom w:val="none" w:color="auto" w:sz="0" w:space="0"/>
          <w:right w:val="none" w:color="auto" w:sz="0" w:space="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pPr>
    <w:tblPr>
      <w:tblStyleRowBandSize w:val="1"/>
      <w:tblStyleColBandSize w:val="1"/>
      <w:tblBorders>
        <w:right w:val="single" w:color="C3D69B" w:themeColor="accent3" w:themeTint="98" w:sz="4" w:space="0"/>
      </w:tblBorders>
    </w:tblPr>
    <w:tblStylePr w:type="firstRow">
      <w:rPr>
        <w:rFonts w:ascii="Arial" w:hAnsi="Arial"/>
        <w:i/>
        <w:color w:val="C3D69B" w:themeColor="accent3" w:themeTint="98" w:themeShade="95"/>
        <w:sz w:val="22"/>
      </w:rPr>
      <w:tblPr/>
      <w:tcPr>
        <w:tcBorders>
          <w:top w:val="none" w:color="auto" w:sz="0" w:space="0"/>
          <w:left w:val="none" w:color="auto" w:sz="0" w:space="0"/>
          <w:bottom w:val="single" w:color="C3D69B" w:themeColor="accent3" w:themeTint="98" w:sz="4" w:space="0"/>
          <w:right w:val="none" w:color="auto" w:sz="0" w:space="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color="C3D69B" w:themeColor="accent3" w:themeTint="98" w:sz="4" w:space="0"/>
          <w:left w:val="none" w:color="auto" w:sz="0" w:space="0"/>
          <w:bottom w:val="none" w:color="auto" w:sz="0" w:space="0"/>
          <w:right w:val="none" w:color="auto" w:sz="0" w:space="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color="auto" w:sz="0" w:space="0"/>
          <w:left w:val="none" w:color="auto" w:sz="0" w:space="0"/>
          <w:bottom w:val="none" w:color="auto" w:sz="0" w:space="0"/>
          <w:right w:val="single" w:color="C3D69B" w:themeColor="accent3" w:themeTint="98" w:sz="4" w:space="0"/>
        </w:tcBorders>
        <w:shd w:val="clear" w:color="FFFFFF" w:fill="auto"/>
      </w:tcPr>
    </w:tblStylePr>
    <w:tblStylePr w:type="lastCol">
      <w:rPr>
        <w:rFonts w:ascii="Arial" w:hAnsi="Arial"/>
        <w:i/>
        <w:color w:val="C3D69B" w:themeColor="accent3" w:themeTint="98" w:themeShade="95"/>
        <w:sz w:val="22"/>
      </w:rPr>
      <w:tblPr/>
      <w:tcPr>
        <w:tcBorders>
          <w:top w:val="none" w:color="auto" w:sz="0" w:space="0"/>
          <w:left w:val="single" w:color="C3D69B" w:themeColor="accent3" w:themeTint="98" w:sz="4" w:space="0"/>
          <w:bottom w:val="none" w:color="auto" w:sz="0" w:space="0"/>
          <w:right w:val="none" w:color="auto" w:sz="0" w:space="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pPr>
    <w:tblPr>
      <w:tblStyleRowBandSize w:val="1"/>
      <w:tblStyleColBandSize w:val="1"/>
      <w:tblBorders>
        <w:right w:val="single" w:color="B2A1C6" w:themeColor="accent4" w:themeTint="9A" w:sz="4" w:space="0"/>
      </w:tblBorders>
    </w:tblPr>
    <w:tblStylePr w:type="firstRow">
      <w:rPr>
        <w:rFonts w:ascii="Arial" w:hAnsi="Arial"/>
        <w:i/>
        <w:color w:val="B2A1C6" w:themeColor="accent4" w:themeTint="9A" w:themeShade="95"/>
        <w:sz w:val="22"/>
      </w:rPr>
      <w:tblPr/>
      <w:tcPr>
        <w:tcBorders>
          <w:top w:val="none" w:color="auto" w:sz="0" w:space="0"/>
          <w:left w:val="none" w:color="auto" w:sz="0" w:space="0"/>
          <w:bottom w:val="single" w:color="B2A1C6" w:themeColor="accent4" w:themeTint="9A" w:sz="4" w:space="0"/>
          <w:right w:val="none" w:color="auto" w:sz="0" w:space="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color="B2A1C6" w:themeColor="accent4" w:themeTint="9A" w:sz="4" w:space="0"/>
          <w:left w:val="none" w:color="auto" w:sz="0" w:space="0"/>
          <w:bottom w:val="none" w:color="auto" w:sz="0" w:space="0"/>
          <w:right w:val="none" w:color="auto" w:sz="0" w:space="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color="auto" w:sz="0" w:space="0"/>
          <w:left w:val="none" w:color="auto" w:sz="0" w:space="0"/>
          <w:bottom w:val="none" w:color="auto" w:sz="0" w:space="0"/>
          <w:right w:val="single" w:color="B2A1C6" w:themeColor="accent4" w:themeTint="9A" w:sz="4" w:space="0"/>
        </w:tcBorders>
        <w:shd w:val="clear" w:color="FFFFFF" w:fill="auto"/>
      </w:tcPr>
    </w:tblStylePr>
    <w:tblStylePr w:type="lastCol">
      <w:rPr>
        <w:rFonts w:ascii="Arial" w:hAnsi="Arial"/>
        <w:i/>
        <w:color w:val="B2A1C6" w:themeColor="accent4" w:themeTint="9A" w:themeShade="95"/>
        <w:sz w:val="22"/>
      </w:rPr>
      <w:tblPr/>
      <w:tcPr>
        <w:tcBorders>
          <w:top w:val="none" w:color="auto" w:sz="0" w:space="0"/>
          <w:left w:val="single" w:color="B2A1C6" w:themeColor="accent4" w:themeTint="9A" w:sz="4" w:space="0"/>
          <w:bottom w:val="none" w:color="auto" w:sz="0" w:space="0"/>
          <w:right w:val="none" w:color="auto" w:sz="0" w:space="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pPr>
    <w:tblPr>
      <w:tblStyleRowBandSize w:val="1"/>
      <w:tblStyleColBandSize w:val="1"/>
      <w:tblBorders>
        <w:right w:val="single" w:color="92CCDC" w:themeColor="accent5" w:themeTint="9A" w:sz="4" w:space="0"/>
      </w:tblBorders>
    </w:tblPr>
    <w:tblStylePr w:type="firstRow">
      <w:rPr>
        <w:rFonts w:ascii="Arial" w:hAnsi="Arial"/>
        <w:i/>
        <w:color w:val="92CCDC" w:themeColor="accent5" w:themeTint="9A" w:themeShade="95"/>
        <w:sz w:val="22"/>
      </w:rPr>
      <w:tblPr/>
      <w:tcPr>
        <w:tcBorders>
          <w:top w:val="none" w:color="auto" w:sz="0" w:space="0"/>
          <w:left w:val="none" w:color="auto" w:sz="0" w:space="0"/>
          <w:bottom w:val="single" w:color="92CCDC" w:themeColor="accent5" w:themeTint="9A" w:sz="4" w:space="0"/>
          <w:right w:val="none" w:color="auto" w:sz="0" w:space="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color="92CCDC" w:themeColor="accent5" w:themeTint="9A" w:sz="4" w:space="0"/>
          <w:left w:val="none" w:color="auto" w:sz="0" w:space="0"/>
          <w:bottom w:val="none" w:color="auto" w:sz="0" w:space="0"/>
          <w:right w:val="none" w:color="auto" w:sz="0" w:space="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color="auto" w:sz="0" w:space="0"/>
          <w:left w:val="none" w:color="auto" w:sz="0" w:space="0"/>
          <w:bottom w:val="none" w:color="auto" w:sz="0" w:space="0"/>
          <w:right w:val="single" w:color="92CCDC" w:themeColor="accent5" w:themeTint="9A" w:sz="4" w:space="0"/>
        </w:tcBorders>
        <w:shd w:val="clear" w:color="FFFFFF" w:fill="auto"/>
      </w:tcPr>
    </w:tblStylePr>
    <w:tblStylePr w:type="lastCol">
      <w:rPr>
        <w:rFonts w:ascii="Arial" w:hAnsi="Arial"/>
        <w:i/>
        <w:color w:val="92CCDC" w:themeColor="accent5" w:themeTint="9A" w:themeShade="95"/>
        <w:sz w:val="22"/>
      </w:rPr>
      <w:tblPr/>
      <w:tcPr>
        <w:tcBorders>
          <w:top w:val="none" w:color="auto" w:sz="0" w:space="0"/>
          <w:left w:val="single" w:color="92CCDC" w:themeColor="accent5" w:themeTint="9A" w:sz="4" w:space="0"/>
          <w:bottom w:val="none" w:color="auto" w:sz="0" w:space="0"/>
          <w:right w:val="none" w:color="auto" w:sz="0" w:space="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pPr>
    <w:tblPr>
      <w:tblStyleRowBandSize w:val="1"/>
      <w:tblStyleColBandSize w:val="1"/>
      <w:tblBorders>
        <w:right w:val="single" w:color="FAC090" w:themeColor="accent6" w:themeTint="98" w:sz="4" w:space="0"/>
      </w:tblBorders>
    </w:tblPr>
    <w:tblStylePr w:type="firstRow">
      <w:rPr>
        <w:rFonts w:ascii="Arial" w:hAnsi="Arial"/>
        <w:i/>
        <w:color w:val="FAC090" w:themeColor="accent6" w:themeTint="98" w:themeShade="95"/>
        <w:sz w:val="22"/>
      </w:rPr>
      <w:tblPr/>
      <w:tcPr>
        <w:tcBorders>
          <w:top w:val="none" w:color="auto" w:sz="0" w:space="0"/>
          <w:left w:val="none" w:color="auto" w:sz="0" w:space="0"/>
          <w:bottom w:val="single" w:color="FAC090" w:themeColor="accent6" w:themeTint="98" w:sz="4" w:space="0"/>
          <w:right w:val="none" w:color="auto" w:sz="0" w:space="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color="FAC090" w:themeColor="accent6" w:themeTint="98" w:sz="4" w:space="0"/>
          <w:left w:val="none" w:color="auto" w:sz="0" w:space="0"/>
          <w:bottom w:val="none" w:color="auto" w:sz="0" w:space="0"/>
          <w:right w:val="none" w:color="auto" w:sz="0" w:space="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color="auto" w:sz="0" w:space="0"/>
          <w:left w:val="none" w:color="auto" w:sz="0" w:space="0"/>
          <w:bottom w:val="none" w:color="auto" w:sz="0" w:space="0"/>
          <w:right w:val="single" w:color="FAC090" w:themeColor="accent6" w:themeTint="98" w:sz="4" w:space="0"/>
        </w:tcBorders>
        <w:shd w:val="clear" w:color="FFFFFF" w:fill="auto"/>
      </w:tcPr>
    </w:tblStylePr>
    <w:tblStylePr w:type="lastCol">
      <w:rPr>
        <w:rFonts w:ascii="Arial" w:hAnsi="Arial"/>
        <w:i/>
        <w:color w:val="FAC090" w:themeColor="accent6" w:themeTint="98" w:themeShade="95"/>
        <w:sz w:val="22"/>
      </w:rPr>
      <w:tblPr/>
      <w:tcPr>
        <w:tcBorders>
          <w:top w:val="none" w:color="auto" w:sz="0" w:space="0"/>
          <w:left w:val="single" w:color="FAC090" w:themeColor="accent6" w:themeTint="98" w:sz="4" w:space="0"/>
          <w:bottom w:val="none" w:color="auto" w:sz="0" w:space="0"/>
          <w:right w:val="none" w:color="auto" w:sz="0" w:space="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ned-Accent" w:customStyle="1">
    <w:name w:val="Lined - Accent"/>
    <w:basedOn w:val="TableNormal"/>
    <w:uiPriority w:val="99"/>
    <w:pPr>
      <w:spacing w:after="0"/>
    </w:pPr>
    <w:rPr>
      <w:color w:val="404040"/>
      <w:sz w:val="20"/>
      <w:szCs w:val="20"/>
      <w:lang w:eastAsia="ja-JP" w:bidi="ar-SA"/>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styleId="Lined-Accent1" w:customStyle="1">
    <w:name w:val="Lined - Accent 1"/>
    <w:basedOn w:val="TableNormal"/>
    <w:uiPriority w:val="99"/>
    <w:pPr>
      <w:spacing w:after="0"/>
    </w:pPr>
    <w:rPr>
      <w:color w:val="404040"/>
      <w:sz w:val="20"/>
      <w:szCs w:val="20"/>
      <w:lang w:eastAsia="ja-JP" w:bidi="ar-SA"/>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styleId="Lined-Accent2" w:customStyle="1">
    <w:name w:val="Lined - Accent 2"/>
    <w:basedOn w:val="TableNormal"/>
    <w:uiPriority w:val="99"/>
    <w:pPr>
      <w:spacing w:after="0"/>
    </w:pPr>
    <w:rPr>
      <w:color w:val="404040"/>
      <w:sz w:val="20"/>
      <w:szCs w:val="20"/>
      <w:lang w:eastAsia="ja-JP" w:bidi="ar-SA"/>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styleId="Lined-Accent3" w:customStyle="1">
    <w:name w:val="Lined - Accent 3"/>
    <w:basedOn w:val="TableNormal"/>
    <w:uiPriority w:val="99"/>
    <w:pPr>
      <w:spacing w:after="0"/>
    </w:pPr>
    <w:rPr>
      <w:color w:val="404040"/>
      <w:sz w:val="20"/>
      <w:szCs w:val="20"/>
      <w:lang w:eastAsia="ja-JP" w:bidi="ar-SA"/>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styleId="Lined-Accent4" w:customStyle="1">
    <w:name w:val="Lined - Accent 4"/>
    <w:basedOn w:val="TableNormal"/>
    <w:uiPriority w:val="99"/>
    <w:pPr>
      <w:spacing w:after="0"/>
    </w:pPr>
    <w:rPr>
      <w:color w:val="404040"/>
      <w:sz w:val="20"/>
      <w:szCs w:val="20"/>
      <w:lang w:eastAsia="ja-JP" w:bidi="ar-SA"/>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styleId="Lined-Accent5" w:customStyle="1">
    <w:name w:val="Lined - Accent 5"/>
    <w:basedOn w:val="TableNormal"/>
    <w:uiPriority w:val="99"/>
    <w:pPr>
      <w:spacing w:after="0"/>
    </w:pPr>
    <w:rPr>
      <w:color w:val="404040"/>
      <w:sz w:val="20"/>
      <w:szCs w:val="20"/>
      <w:lang w:eastAsia="ja-JP" w:bidi="ar-SA"/>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styleId="Lined-Accent6" w:customStyle="1">
    <w:name w:val="Lined - Accent 6"/>
    <w:basedOn w:val="TableNormal"/>
    <w:uiPriority w:val="99"/>
    <w:pPr>
      <w:spacing w:after="0"/>
    </w:pPr>
    <w:rPr>
      <w:color w:val="404040"/>
      <w:sz w:val="20"/>
      <w:szCs w:val="20"/>
      <w:lang w:eastAsia="ja-JP" w:bidi="ar-SA"/>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styleId="BorderedLined-Accent" w:customStyle="1">
    <w:name w:val="Bordered &amp; Lined - Accent"/>
    <w:basedOn w:val="TableNormal"/>
    <w:uiPriority w:val="99"/>
    <w:pPr>
      <w:spacing w:after="0"/>
    </w:pPr>
    <w:rPr>
      <w:color w:val="404040"/>
      <w:sz w:val="20"/>
      <w:szCs w:val="20"/>
      <w:lang w:eastAsia="ja-JP" w:bidi="ar-SA"/>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styleId="BorderedLined-Accent1" w:customStyle="1">
    <w:name w:val="Bordered &amp; Lined - Accent 1"/>
    <w:basedOn w:val="TableNormal"/>
    <w:uiPriority w:val="99"/>
    <w:pPr>
      <w:spacing w:after="0"/>
    </w:pPr>
    <w:rPr>
      <w:color w:val="404040"/>
      <w:sz w:val="20"/>
      <w:szCs w:val="20"/>
      <w:lang w:eastAsia="ja-JP" w:bidi="ar-SA"/>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styleId="BorderedLined-Accent2" w:customStyle="1">
    <w:name w:val="Bordered &amp; Lined - Accent 2"/>
    <w:basedOn w:val="TableNormal"/>
    <w:uiPriority w:val="99"/>
    <w:pPr>
      <w:spacing w:after="0"/>
    </w:pPr>
    <w:rPr>
      <w:color w:val="404040"/>
      <w:sz w:val="20"/>
      <w:szCs w:val="20"/>
      <w:lang w:eastAsia="ja-JP" w:bidi="ar-SA"/>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styleId="BorderedLined-Accent3" w:customStyle="1">
    <w:name w:val="Bordered &amp; Lined - Accent 3"/>
    <w:basedOn w:val="TableNormal"/>
    <w:uiPriority w:val="99"/>
    <w:pPr>
      <w:spacing w:after="0"/>
    </w:pPr>
    <w:rPr>
      <w:color w:val="404040"/>
      <w:sz w:val="20"/>
      <w:szCs w:val="20"/>
      <w:lang w:eastAsia="ja-JP" w:bidi="ar-SA"/>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styleId="BorderedLined-Accent4" w:customStyle="1">
    <w:name w:val="Bordered &amp; Lined - Accent 4"/>
    <w:basedOn w:val="TableNormal"/>
    <w:uiPriority w:val="99"/>
    <w:pPr>
      <w:spacing w:after="0"/>
    </w:pPr>
    <w:rPr>
      <w:color w:val="404040"/>
      <w:sz w:val="20"/>
      <w:szCs w:val="20"/>
      <w:lang w:eastAsia="ja-JP" w:bidi="ar-SA"/>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styleId="BorderedLined-Accent5" w:customStyle="1">
    <w:name w:val="Bordered &amp; Lined - Accent 5"/>
    <w:basedOn w:val="TableNormal"/>
    <w:uiPriority w:val="99"/>
    <w:pPr>
      <w:spacing w:after="0"/>
    </w:pPr>
    <w:rPr>
      <w:color w:val="404040"/>
      <w:sz w:val="20"/>
      <w:szCs w:val="20"/>
      <w:lang w:eastAsia="ja-JP" w:bidi="ar-SA"/>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styleId="BorderedLined-Accent6" w:customStyle="1">
    <w:name w:val="Bordered &amp; Lined - Accent 6"/>
    <w:basedOn w:val="TableNormal"/>
    <w:uiPriority w:val="99"/>
    <w:pPr>
      <w:spacing w:after="0"/>
    </w:pPr>
    <w:rPr>
      <w:color w:val="404040"/>
      <w:sz w:val="20"/>
      <w:szCs w:val="20"/>
      <w:lang w:eastAsia="ja-JP" w:bidi="ar-SA"/>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styleId="Bordered" w:customStyle="1">
    <w:name w:val="Bordered"/>
    <w:basedOn w:val="TableNormal"/>
    <w:uiPriority w:val="99"/>
    <w:pPr>
      <w:spacing w:after="0"/>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rFonts w:ascii="Arial" w:hAnsi="Arial"/>
        <w:color w:val="404040"/>
        <w:sz w:val="22"/>
      </w:rPr>
      <w:tblPr/>
      <w:tcPr>
        <w:tcBorders>
          <w:bottom w:val="single" w:color="7F7F7F" w:themeColor="text1" w:themeTint="80" w:sz="12" w:space="0"/>
        </w:tcBorders>
      </w:tcPr>
    </w:tblStylePr>
    <w:tblStylePr w:type="lastRow">
      <w:rPr>
        <w:rFonts w:ascii="Arial" w:hAnsi="Arial"/>
        <w:color w:val="404040"/>
        <w:sz w:val="22"/>
      </w:rPr>
      <w:tblPr/>
      <w:tcPr>
        <w:tcBorders>
          <w:top w:val="single" w:color="7F7F7F"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7F7F7F" w:themeColor="text1" w:themeTint="80" w:sz="12" w:space="0"/>
        </w:tcBorders>
      </w:tcPr>
    </w:tblStylePr>
    <w:tblStylePr w:type="band1Horz">
      <w:rPr>
        <w:rFonts w:ascii="Arial" w:hAnsi="Arial"/>
        <w:color w:val="404040"/>
        <w:sz w:val="22"/>
      </w:rPr>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style>
  <w:style w:type="table" w:styleId="Bordered-Accent1" w:customStyle="1">
    <w:name w:val="Bordered - Accent 1"/>
    <w:basedOn w:val="TableNormal"/>
    <w:uiPriority w:val="99"/>
    <w:pPr>
      <w:spacing w:after="0"/>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rFonts w:ascii="Arial" w:hAnsi="Arial"/>
        <w:color w:val="404040"/>
        <w:sz w:val="22"/>
      </w:rPr>
      <w:tblPr/>
      <w:tcPr>
        <w:tcBorders>
          <w:bottom w:val="single" w:color="4F81BD" w:themeColor="accent1" w:sz="12" w:space="0"/>
        </w:tcBorders>
      </w:tcPr>
    </w:tblStylePr>
    <w:tblStylePr w:type="lastRow">
      <w:rPr>
        <w:rFonts w:ascii="Arial" w:hAnsi="Arial"/>
        <w:color w:val="404040"/>
        <w:sz w:val="22"/>
      </w:rPr>
      <w:tbl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4F81BD" w:themeColor="accent1" w:sz="12" w:space="0"/>
        </w:tcBorders>
      </w:tcPr>
    </w:tblStylePr>
    <w:tblStylePr w:type="band1Horz">
      <w:rPr>
        <w:rFonts w:ascii="Arial" w:hAnsi="Arial"/>
        <w:color w:val="404040"/>
        <w:sz w:val="22"/>
      </w:rPr>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style>
  <w:style w:type="table" w:styleId="Bordered-Accent2" w:customStyle="1">
    <w:name w:val="Bordered - Accent 2"/>
    <w:basedOn w:val="TableNormal"/>
    <w:uiPriority w:val="99"/>
    <w:pPr>
      <w:spacing w:after="0"/>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rFonts w:ascii="Arial" w:hAnsi="Arial"/>
        <w:color w:val="404040"/>
        <w:sz w:val="22"/>
      </w:rPr>
      <w:tblPr/>
      <w:tcPr>
        <w:tcBorders>
          <w:bottom w:val="single" w:color="D99695" w:themeColor="accent2" w:themeTint="97" w:sz="12" w:space="0"/>
        </w:tcBorders>
      </w:tcPr>
    </w:tblStylePr>
    <w:tblStylePr w:type="lastRow">
      <w:rPr>
        <w:rFonts w:ascii="Arial" w:hAnsi="Arial"/>
        <w:color w:val="404040"/>
        <w:sz w:val="22"/>
      </w:rPr>
      <w:tblPr/>
      <w:tcPr>
        <w:tcBorders>
          <w:top w:val="single" w:color="D996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D99695" w:themeColor="accent2" w:themeTint="97" w:sz="12" w:space="0"/>
        </w:tcBorders>
      </w:tcPr>
    </w:tblStylePr>
    <w:tblStylePr w:type="band1Horz">
      <w:rPr>
        <w:rFonts w:ascii="Arial" w:hAnsi="Arial"/>
        <w:color w:val="404040"/>
        <w:sz w:val="22"/>
      </w:rPr>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style>
  <w:style w:type="table" w:styleId="Bordered-Accent3" w:customStyle="1">
    <w:name w:val="Bordered - Accent 3"/>
    <w:basedOn w:val="TableNormal"/>
    <w:uiPriority w:val="99"/>
    <w:pPr>
      <w:spacing w:after="0"/>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blPr/>
      <w:tcPr>
        <w:tcBorders>
          <w:bottom w:val="single" w:color="C3D69B" w:themeColor="accent3" w:themeTint="98" w:sz="12" w:space="0"/>
        </w:tcBorders>
      </w:tcPr>
    </w:tblStylePr>
    <w:tblStylePr w:type="lastRow">
      <w:rPr>
        <w:rFonts w:ascii="Arial" w:hAnsi="Arial"/>
        <w:color w:val="404040"/>
        <w:sz w:val="22"/>
      </w:rPr>
      <w:tblPr/>
      <w:tcPr>
        <w:tcBorders>
          <w:top w:val="single" w:color="C3D69B"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C3D69B" w:themeColor="accent3" w:themeTint="98" w:sz="12" w:space="0"/>
        </w:tcBorders>
      </w:tcPr>
    </w:tblStylePr>
    <w:tblStylePr w:type="band1Horz">
      <w:rPr>
        <w:rFonts w:ascii="Arial" w:hAnsi="Arial"/>
        <w:color w:val="404040"/>
        <w:sz w:val="22"/>
      </w:rPr>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styleId="Bordered-Accent4" w:customStyle="1">
    <w:name w:val="Bordered - Accent 4"/>
    <w:basedOn w:val="TableNormal"/>
    <w:uiPriority w:val="99"/>
    <w:pPr>
      <w:spacing w:after="0"/>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blPr/>
      <w:tcPr>
        <w:tcBorders>
          <w:bottom w:val="single" w:color="B2A1C6" w:themeColor="accent4" w:themeTint="9A" w:sz="12" w:space="0"/>
        </w:tcBorders>
      </w:tcPr>
    </w:tblStylePr>
    <w:tblStylePr w:type="lastRow">
      <w:rPr>
        <w:rFonts w:ascii="Arial" w:hAnsi="Arial"/>
        <w:color w:val="404040"/>
        <w:sz w:val="22"/>
      </w:rPr>
      <w:tbl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B2A1C6" w:themeColor="accent4" w:themeTint="9A" w:sz="12" w:space="0"/>
        </w:tcBorders>
      </w:tcPr>
    </w:tblStylePr>
    <w:tblStylePr w:type="band1Horz">
      <w:rPr>
        <w:rFonts w:ascii="Arial" w:hAnsi="Arial"/>
        <w:color w:val="404040"/>
        <w:sz w:val="22"/>
      </w:rPr>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styleId="Bordered-Accent5" w:customStyle="1">
    <w:name w:val="Bordered - Accent 5"/>
    <w:basedOn w:val="TableNormal"/>
    <w:uiPriority w:val="99"/>
    <w:pPr>
      <w:spacing w:after="0"/>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rFonts w:ascii="Arial" w:hAnsi="Arial"/>
        <w:color w:val="404040"/>
        <w:sz w:val="22"/>
      </w:rPr>
      <w:tblPr/>
      <w:tcPr>
        <w:tcBorders>
          <w:bottom w:val="single" w:color="92CCDC" w:themeColor="accent5" w:themeTint="9A" w:sz="12" w:space="0"/>
        </w:tcBorders>
      </w:tcPr>
    </w:tblStylePr>
    <w:tblStylePr w:type="lastRow">
      <w:rPr>
        <w:rFonts w:ascii="Arial" w:hAnsi="Arial"/>
        <w:color w:val="404040"/>
        <w:sz w:val="22"/>
      </w:rPr>
      <w:tbl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92CCDC" w:themeColor="accent5" w:themeTint="9A" w:sz="12" w:space="0"/>
        </w:tcBorders>
      </w:tcPr>
    </w:tblStylePr>
    <w:tblStylePr w:type="band1Horz">
      <w:rPr>
        <w:rFonts w:ascii="Arial" w:hAnsi="Arial"/>
        <w:color w:val="404040"/>
        <w:sz w:val="22"/>
      </w:rPr>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style>
  <w:style w:type="table" w:styleId="Bordered-Accent6" w:customStyle="1">
    <w:name w:val="Bordered - Accent 6"/>
    <w:basedOn w:val="TableNormal"/>
    <w:uiPriority w:val="99"/>
    <w:pPr>
      <w:spacing w:after="0"/>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blPr/>
      <w:tcPr>
        <w:tcBorders>
          <w:bottom w:val="single" w:color="FAC090" w:themeColor="accent6" w:themeTint="98" w:sz="12" w:space="0"/>
        </w:tcBorders>
      </w:tcPr>
    </w:tblStylePr>
    <w:tblStylePr w:type="lastRow">
      <w:rPr>
        <w:rFonts w:ascii="Arial" w:hAnsi="Arial"/>
        <w:color w:val="404040"/>
        <w:sz w:val="22"/>
      </w:rPr>
      <w:tbl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blPr/>
      <w:tcPr>
        <w:tcBorders>
          <w:left w:val="single" w:color="FAC090" w:themeColor="accent6" w:themeTint="98" w:sz="12" w:space="0"/>
        </w:tcBorders>
      </w:tcPr>
    </w:tblStylePr>
    <w:tblStylePr w:type="band1Horz">
      <w:rPr>
        <w:rFonts w:ascii="Arial" w:hAnsi="Arial"/>
        <w:color w:val="404040"/>
        <w:sz w:val="22"/>
      </w:rPr>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styleId="Heading1Char" w:customStyle="1">
    <w:name w:val="Heading 1 Char"/>
    <w:basedOn w:val="DefaultParagraphFont"/>
    <w:link w:val="Heading1"/>
    <w:uiPriority w:val="9"/>
    <w:rPr>
      <w:rFonts w:ascii="Arial" w:hAnsi="Arial" w:eastAsia="Arial" w:cs="Arial"/>
      <w:color w:val="365F91" w:themeColor="accent1" w:themeShade="BF"/>
      <w:sz w:val="40"/>
      <w:szCs w:val="40"/>
    </w:rPr>
  </w:style>
  <w:style w:type="character" w:styleId="Heading2Char" w:customStyle="1">
    <w:name w:val="Heading 2 Char"/>
    <w:basedOn w:val="DefaultParagraphFont"/>
    <w:link w:val="Heading2"/>
    <w:uiPriority w:val="9"/>
    <w:rPr>
      <w:rFonts w:ascii="Arial" w:hAnsi="Arial" w:eastAsia="Arial" w:cs="Arial"/>
      <w:color w:val="365F91" w:themeColor="accent1" w:themeShade="BF"/>
      <w:sz w:val="32"/>
      <w:szCs w:val="32"/>
    </w:rPr>
  </w:style>
  <w:style w:type="character" w:styleId="Heading3Char" w:customStyle="1">
    <w:name w:val="Heading 3 Char"/>
    <w:basedOn w:val="DefaultParagraphFont"/>
    <w:link w:val="Heading3"/>
    <w:uiPriority w:val="9"/>
    <w:rPr>
      <w:rFonts w:ascii="Arial" w:hAnsi="Arial" w:eastAsia="Arial" w:cs="Arial"/>
      <w:color w:val="365F91" w:themeColor="accent1" w:themeShade="BF"/>
      <w:sz w:val="28"/>
      <w:szCs w:val="28"/>
    </w:rPr>
  </w:style>
  <w:style w:type="character" w:styleId="Heading4Char" w:customStyle="1">
    <w:name w:val="Heading 4 Char"/>
    <w:basedOn w:val="DefaultParagraphFont"/>
    <w:link w:val="Heading4"/>
    <w:uiPriority w:val="9"/>
    <w:rPr>
      <w:rFonts w:ascii="Arial" w:hAnsi="Arial" w:eastAsia="Arial" w:cs="Arial"/>
      <w:i/>
      <w:iCs/>
      <w:color w:val="365F91" w:themeColor="accent1" w:themeShade="BF"/>
    </w:rPr>
  </w:style>
  <w:style w:type="character" w:styleId="Heading5Char" w:customStyle="1">
    <w:name w:val="Heading 5 Char"/>
    <w:basedOn w:val="DefaultParagraphFont"/>
    <w:link w:val="Heading5"/>
    <w:uiPriority w:val="9"/>
    <w:rPr>
      <w:rFonts w:ascii="Arial" w:hAnsi="Arial" w:eastAsia="Arial" w:cs="Arial"/>
      <w:color w:val="365F91" w:themeColor="accent1" w:themeShade="BF"/>
    </w:rPr>
  </w:style>
  <w:style w:type="character" w:styleId="Heading6Char" w:customStyle="1">
    <w:name w:val="Heading 6 Char"/>
    <w:basedOn w:val="DefaultParagraphFont"/>
    <w:link w:val="Heading6"/>
    <w:uiPriority w:val="9"/>
    <w:rPr>
      <w:rFonts w:ascii="Arial" w:hAnsi="Arial" w:eastAsia="Arial" w:cs="Arial"/>
      <w:i/>
      <w:iCs/>
      <w:color w:val="595959" w:themeColor="text1" w:themeTint="A6"/>
    </w:rPr>
  </w:style>
  <w:style w:type="character" w:styleId="Heading7Char" w:customStyle="1">
    <w:name w:val="Heading 7 Char"/>
    <w:basedOn w:val="DefaultParagraphFont"/>
    <w:link w:val="Heading7"/>
    <w:uiPriority w:val="9"/>
    <w:rPr>
      <w:rFonts w:ascii="Arial" w:hAnsi="Arial" w:eastAsia="Arial" w:cs="Arial"/>
      <w:color w:val="595959" w:themeColor="text1" w:themeTint="A6"/>
    </w:rPr>
  </w:style>
  <w:style w:type="character" w:styleId="Heading8Char" w:customStyle="1">
    <w:name w:val="Heading 8 Char"/>
    <w:basedOn w:val="DefaultParagraphFont"/>
    <w:link w:val="Heading8"/>
    <w:uiPriority w:val="9"/>
    <w:rPr>
      <w:rFonts w:ascii="Arial" w:hAnsi="Arial" w:eastAsia="Arial" w:cs="Arial"/>
      <w:i/>
      <w:iCs/>
      <w:color w:val="272727" w:themeColor="text1" w:themeTint="D8"/>
    </w:rPr>
  </w:style>
  <w:style w:type="character" w:styleId="Heading9Char" w:customStyle="1">
    <w:name w:val="Heading 9 Char"/>
    <w:basedOn w:val="DefaultParagraphFont"/>
    <w:link w:val="Heading9"/>
    <w:uiPriority w:val="9"/>
    <w:rPr>
      <w:rFonts w:ascii="Arial" w:hAnsi="Arial" w:eastAsia="Arial" w:cs="Arial"/>
      <w:i/>
      <w:iCs/>
      <w:color w:val="272727" w:themeColor="text1" w:themeTint="D8"/>
    </w:rPr>
  </w:style>
  <w:style w:type="character" w:styleId="TitleChar" w:customStyle="1">
    <w:name w:val="Title Char"/>
    <w:basedOn w:val="DefaultParagraphFont"/>
    <w:link w:val="Title"/>
    <w:uiPriority w:val="10"/>
    <w:rPr>
      <w:rFonts w:ascii="Arial" w:hAnsi="Arial" w:eastAsia="Arial" w:cs="Arial"/>
      <w:spacing w:val="-10"/>
      <w:sz w:val="56"/>
      <w:szCs w:val="56"/>
    </w:rPr>
  </w:style>
  <w:style w:type="character" w:styleId="SubtitleChar" w:customStyle="1">
    <w:name w:val="Subtitle Char"/>
    <w:basedOn w:val="DefaultParagraphFont"/>
    <w:link w:val="Subtitle"/>
    <w:uiPriority w:val="11"/>
    <w:rPr>
      <w:color w:val="595959" w:themeColor="text1" w:themeTint="A6"/>
      <w:spacing w:val="15"/>
      <w:sz w:val="28"/>
      <w:szCs w:val="28"/>
    </w:rPr>
  </w:style>
  <w:style w:type="paragraph" w:styleId="Quote">
    <w:name w:val="Quote"/>
    <w:link w:val="QuoteChar"/>
    <w:uiPriority w:val="29"/>
    <w:qFormat/>
    <w:rsid w:val="26C3F31D"/>
    <w:pPr>
      <w:spacing w:before="160"/>
      <w:jc w:val="center"/>
    </w:pPr>
    <w:rPr>
      <w:i/>
      <w:iCs/>
      <w:color w:val="404040" w:themeColor="text1" w:themeTint="BF"/>
    </w:rPr>
  </w:style>
  <w:style w:type="character" w:styleId="QuoteChar" w:customStyle="1">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link w:val="IntenseQuoteChar"/>
    <w:uiPriority w:val="30"/>
    <w:qFormat/>
    <w:rsid w:val="26C3F31D"/>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IntenseQuoteChar" w:customStyle="1">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uiPriority w:val="1"/>
    <w:qFormat/>
    <w:rsid w:val="26C3F31D"/>
    <w:pPr>
      <w:spacing w:after="0"/>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uiPriority w:val="35"/>
    <w:unhideWhenUsed/>
    <w:qFormat/>
    <w:rsid w:val="26C3F31D"/>
    <w:pPr>
      <w:spacing w:after="200"/>
    </w:pPr>
    <w:rPr>
      <w:i/>
      <w:iCs/>
      <w:color w:val="1F497D" w:themeColor="text2"/>
      <w:sz w:val="18"/>
      <w:szCs w:val="18"/>
    </w:rPr>
  </w:style>
  <w:style w:type="paragraph" w:styleId="FootnoteText">
    <w:name w:val="footnote text"/>
    <w:link w:val="FootnoteTextChar"/>
    <w:uiPriority w:val="99"/>
    <w:semiHidden/>
    <w:unhideWhenUsed/>
    <w:rsid w:val="26C3F31D"/>
    <w:pPr>
      <w:spacing w:after="0"/>
    </w:pPr>
    <w:rPr>
      <w:sz w:val="20"/>
      <w:szCs w:val="20"/>
    </w:rPr>
  </w:style>
  <w:style w:type="character" w:styleId="FootnoteTextChar" w:customStyle="1">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link w:val="EndnoteTextChar"/>
    <w:uiPriority w:val="99"/>
    <w:semiHidden/>
    <w:unhideWhenUsed/>
    <w:rsid w:val="26C3F31D"/>
    <w:pPr>
      <w:spacing w:after="0"/>
    </w:pPr>
    <w:rPr>
      <w:sz w:val="20"/>
      <w:szCs w:val="20"/>
    </w:rPr>
  </w:style>
  <w:style w:type="character" w:styleId="EndnoteTextChar" w:customStyle="1">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2">
    <w:name w:val="toc 2"/>
    <w:uiPriority w:val="39"/>
    <w:unhideWhenUsed/>
    <w:rsid w:val="26C3F31D"/>
    <w:pPr>
      <w:spacing w:after="100"/>
      <w:ind w:left="220"/>
    </w:pPr>
  </w:style>
  <w:style w:type="paragraph" w:styleId="TOC3">
    <w:name w:val="toc 3"/>
    <w:uiPriority w:val="39"/>
    <w:unhideWhenUsed/>
    <w:rsid w:val="26C3F31D"/>
    <w:pPr>
      <w:spacing w:after="100"/>
      <w:ind w:left="440"/>
    </w:pPr>
  </w:style>
  <w:style w:type="paragraph" w:styleId="TOC4">
    <w:name w:val="toc 4"/>
    <w:uiPriority w:val="39"/>
    <w:unhideWhenUsed/>
    <w:rsid w:val="26C3F31D"/>
    <w:pPr>
      <w:spacing w:after="100"/>
      <w:ind w:left="660"/>
    </w:pPr>
  </w:style>
  <w:style w:type="paragraph" w:styleId="TOC5">
    <w:name w:val="toc 5"/>
    <w:uiPriority w:val="39"/>
    <w:unhideWhenUsed/>
    <w:rsid w:val="26C3F31D"/>
    <w:pPr>
      <w:spacing w:after="100"/>
      <w:ind w:left="880"/>
    </w:pPr>
  </w:style>
  <w:style w:type="paragraph" w:styleId="TOC6">
    <w:name w:val="toc 6"/>
    <w:uiPriority w:val="39"/>
    <w:unhideWhenUsed/>
    <w:rsid w:val="26C3F31D"/>
    <w:pPr>
      <w:spacing w:after="100"/>
      <w:ind w:left="1100"/>
    </w:pPr>
  </w:style>
  <w:style w:type="paragraph" w:styleId="TOC7">
    <w:name w:val="toc 7"/>
    <w:uiPriority w:val="39"/>
    <w:unhideWhenUsed/>
    <w:rsid w:val="26C3F31D"/>
    <w:pPr>
      <w:spacing w:after="100"/>
      <w:ind w:left="1320"/>
    </w:pPr>
  </w:style>
  <w:style w:type="paragraph" w:styleId="TOC8">
    <w:name w:val="toc 8"/>
    <w:uiPriority w:val="39"/>
    <w:unhideWhenUsed/>
    <w:rsid w:val="26C3F31D"/>
    <w:pPr>
      <w:spacing w:after="100"/>
      <w:ind w:left="1540"/>
    </w:pPr>
  </w:style>
  <w:style w:type="paragraph" w:styleId="TOC9">
    <w:name w:val="toc 9"/>
    <w:uiPriority w:val="39"/>
    <w:unhideWhenUsed/>
    <w:rsid w:val="26C3F31D"/>
    <w:pPr>
      <w:spacing w:after="100"/>
      <w:ind w:left="1760"/>
    </w:pPr>
  </w:style>
  <w:style w:type="character" w:styleId="PlaceholderText">
    <w:name w:val="Placeholder Text"/>
    <w:basedOn w:val="DefaultParagraphFont"/>
    <w:uiPriority w:val="99"/>
    <w:semiHidden/>
    <w:rPr>
      <w:color w:val="666666"/>
    </w:rPr>
  </w:style>
  <w:style w:type="paragraph" w:styleId="TableofFigures">
    <w:name w:val="table of figures"/>
    <w:uiPriority w:val="99"/>
    <w:unhideWhenUsed/>
    <w:rsid w:val="26C3F31D"/>
  </w:style>
  <w:style w:type="paragraph" w:styleId="Title">
    <w:name w:val="Title"/>
    <w:link w:val="TitleChar"/>
    <w:uiPriority w:val="10"/>
    <w:qFormat/>
    <w:rsid w:val="26C3F31D"/>
    <w:pPr>
      <w:keepNext/>
      <w:keepLines/>
      <w:spacing w:before="480"/>
    </w:pPr>
    <w:rPr>
      <w:b/>
      <w:bCs/>
      <w:sz w:val="72"/>
      <w:szCs w:val="72"/>
    </w:rPr>
  </w:style>
  <w:style w:type="table" w:styleId="TableNormal1" w:customStyle="1">
    <w:name w:val="Table Normal1"/>
    <w:tblPr>
      <w:tblCellMar>
        <w:top w:w="0" w:type="dxa"/>
        <w:left w:w="0" w:type="dxa"/>
        <w:bottom w:w="0" w:type="dxa"/>
        <w:right w:w="0" w:type="dxa"/>
      </w:tblCellMar>
    </w:tblPr>
  </w:style>
  <w:style w:type="table" w:styleId="TableNormal10" w:customStyle="1">
    <w:name w:val="Table Normal10"/>
    <w:tblPr>
      <w:tblCellMar>
        <w:top w:w="0" w:type="dxa"/>
        <w:left w:w="0" w:type="dxa"/>
        <w:bottom w:w="0" w:type="dxa"/>
        <w:right w:w="0" w:type="dxa"/>
      </w:tblCellMar>
    </w:tblPr>
  </w:style>
  <w:style w:type="paragraph" w:styleId="Subtitle">
    <w:name w:val="Subtitle"/>
    <w:link w:val="SubtitleChar"/>
    <w:uiPriority w:val="11"/>
    <w:qFormat/>
    <w:rsid w:val="26C3F31D"/>
    <w:pPr>
      <w:keepNext/>
      <w:keepLines/>
      <w:spacing w:before="360" w:after="80"/>
    </w:pPr>
    <w:rPr>
      <w:rFonts w:ascii="Georgia" w:hAnsi="Georgia" w:eastAsia="Georgia" w:cs="Georgia"/>
      <w:i/>
      <w:iCs/>
      <w:color w:val="666666"/>
      <w:sz w:val="48"/>
      <w:szCs w:val="48"/>
    </w:rPr>
  </w:style>
  <w:style w:type="table" w:styleId="StGen0" w:customStyle="1">
    <w:name w:val="StGen0"/>
    <w:basedOn w:val="TableNormal10"/>
    <w:tblPr>
      <w:tblStyleRowBandSize w:val="1"/>
      <w:tblStyleColBandSize w:val="1"/>
      <w:tblCellMar>
        <w:left w:w="115" w:type="dxa"/>
        <w:right w:w="115" w:type="dxa"/>
      </w:tblCellMar>
    </w:tblPr>
  </w:style>
  <w:style w:type="table" w:styleId="StGen1" w:customStyle="1">
    <w:name w:val="StGen1"/>
    <w:basedOn w:val="TableNormal10"/>
    <w:tblPr>
      <w:tblStyleRowBandSize w:val="1"/>
      <w:tblStyleColBandSize w:val="1"/>
      <w:tblCellMar>
        <w:left w:w="115" w:type="dxa"/>
        <w:right w:w="115" w:type="dxa"/>
      </w:tblCellMar>
    </w:tblPr>
  </w:style>
  <w:style w:type="table" w:styleId="StGen2" w:customStyle="1">
    <w:name w:val="StGen2"/>
    <w:basedOn w:val="TableNormal10"/>
    <w:tblPr>
      <w:tblStyleRowBandSize w:val="1"/>
      <w:tblStyleColBandSize w:val="1"/>
      <w:tblCellMar>
        <w:left w:w="115" w:type="dxa"/>
        <w:right w:w="115" w:type="dxa"/>
      </w:tblCellMar>
    </w:tblPr>
  </w:style>
  <w:style w:type="table" w:styleId="StGen3" w:customStyle="1">
    <w:name w:val="StGen3"/>
    <w:basedOn w:val="TableNormal10"/>
    <w:tblPr>
      <w:tblStyleRowBandSize w:val="1"/>
      <w:tblStyleColBandSize w:val="1"/>
      <w:tblCellMar>
        <w:left w:w="115" w:type="dxa"/>
        <w:right w:w="115" w:type="dxa"/>
      </w:tblCellMar>
    </w:tblPr>
  </w:style>
  <w:style w:type="table" w:styleId="StGen4" w:customStyle="1">
    <w:name w:val="StGen4"/>
    <w:basedOn w:val="TableNormal10"/>
    <w:tblPr>
      <w:tblStyleRowBandSize w:val="1"/>
      <w:tblStyleColBandSize w:val="1"/>
      <w:tblCellMar>
        <w:left w:w="115" w:type="dxa"/>
        <w:right w:w="115" w:type="dxa"/>
      </w:tblCellMar>
    </w:tblPr>
  </w:style>
  <w:style w:type="paragraph" w:styleId="Header">
    <w:name w:val="header"/>
    <w:link w:val="HeaderChar"/>
    <w:uiPriority w:val="99"/>
    <w:unhideWhenUsed/>
    <w:rsid w:val="26C3F31D"/>
    <w:pPr>
      <w:tabs>
        <w:tab w:val="center" w:pos="4153"/>
        <w:tab w:val="right" w:pos="8306"/>
      </w:tabs>
      <w:spacing w:before="0" w:after="0"/>
    </w:pPr>
  </w:style>
  <w:style w:type="character" w:styleId="HeaderChar" w:customStyle="1">
    <w:name w:val="Header Char"/>
    <w:basedOn w:val="DefaultParagraphFont"/>
    <w:link w:val="Header"/>
    <w:uiPriority w:val="99"/>
  </w:style>
  <w:style w:type="paragraph" w:styleId="Footer">
    <w:name w:val="footer"/>
    <w:link w:val="FooterChar"/>
    <w:uiPriority w:val="99"/>
    <w:unhideWhenUsed/>
    <w:rsid w:val="26C3F31D"/>
    <w:pPr>
      <w:tabs>
        <w:tab w:val="center" w:pos="4153"/>
        <w:tab w:val="right" w:pos="8306"/>
      </w:tabs>
      <w:spacing w:before="0" w:after="0"/>
    </w:pPr>
  </w:style>
  <w:style w:type="character" w:styleId="FooterChar" w:customStyle="1">
    <w:name w:val="Footer Char"/>
    <w:basedOn w:val="DefaultParagraphFont"/>
    <w:link w:val="Footer"/>
    <w:uiPriority w:val="99"/>
  </w:style>
  <w:style w:type="paragraph" w:styleId="ListParagraph">
    <w:name w:val="List Paragraph"/>
    <w:uiPriority w:val="34"/>
    <w:qFormat/>
    <w:rsid w:val="26C3F31D"/>
    <w:pPr>
      <w:ind w:left="720"/>
      <w:contextualSpacing/>
    </w:pPr>
  </w:style>
  <w:style w:type="paragraph" w:styleId="BalloonText">
    <w:name w:val="Balloon Text"/>
    <w:link w:val="BalloonTextChar"/>
    <w:uiPriority w:val="99"/>
    <w:semiHidden/>
    <w:unhideWhenUsed/>
    <w:rsid w:val="26C3F31D"/>
    <w:pPr>
      <w:spacing w:before="0"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link w:val="CommentTextChar"/>
    <w:uiPriority w:val="99"/>
    <w:semiHidden/>
    <w:unhideWhenUsed/>
    <w:rsid w:val="26C3F31D"/>
    <w:rPr>
      <w:sz w:val="20"/>
      <w:szCs w:val="20"/>
    </w:rPr>
  </w:style>
  <w:style w:type="character" w:styleId="CommentTextChar" w:customStyle="1">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CommentSubjectChar" w:customStyle="1">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table" w:styleId="StGen5" w:customStyle="1">
    <w:name w:val="StGen5"/>
    <w:basedOn w:val="TableNormal"/>
    <w:tblPr>
      <w:tblStyleRowBandSize w:val="1"/>
      <w:tblStyleColBandSize w:val="1"/>
      <w:tblCellMar>
        <w:left w:w="115" w:type="dxa"/>
        <w:right w:w="115" w:type="dxa"/>
      </w:tblCellMar>
    </w:tblPr>
  </w:style>
  <w:style w:type="table" w:styleId="StGen6" w:customStyle="1">
    <w:name w:val="StGen6"/>
    <w:basedOn w:val="TableNormal"/>
    <w:tblPr>
      <w:tblStyleRowBandSize w:val="1"/>
      <w:tblStyleColBandSize w:val="1"/>
      <w:tblCellMar>
        <w:left w:w="115" w:type="dxa"/>
        <w:right w:w="115" w:type="dxa"/>
      </w:tblCellMar>
    </w:tblPr>
  </w:style>
  <w:style w:type="table" w:styleId="StGen7" w:customStyle="1">
    <w:name w:val="StGen7"/>
    <w:basedOn w:val="TableNormal"/>
    <w:tblPr>
      <w:tblStyleRowBandSize w:val="1"/>
      <w:tblStyleColBandSize w:val="1"/>
      <w:tblCellMar>
        <w:left w:w="115" w:type="dxa"/>
        <w:right w:w="115" w:type="dxa"/>
      </w:tblCellMar>
    </w:tblPr>
  </w:style>
  <w:style w:type="table" w:styleId="StGen8" w:customStyle="1">
    <w:name w:val="StGen8"/>
    <w:basedOn w:val="TableNormal1"/>
    <w:tblPr>
      <w:tblStyleRowBandSize w:val="1"/>
      <w:tblStyleColBandSize w:val="1"/>
      <w:tblCellMar>
        <w:left w:w="115" w:type="dxa"/>
        <w:right w:w="115" w:type="dxa"/>
      </w:tblCellMar>
    </w:tblPr>
  </w:style>
  <w:style w:type="table" w:styleId="StGen9" w:customStyle="1">
    <w:name w:val="StGen9"/>
    <w:basedOn w:val="TableNormal1"/>
    <w:tblPr>
      <w:tblStyleRowBandSize w:val="1"/>
      <w:tblStyleColBandSize w:val="1"/>
      <w:tblCellMar>
        <w:left w:w="115" w:type="dxa"/>
        <w:right w:w="115" w:type="dxa"/>
      </w:tblCellMar>
    </w:tblPr>
  </w:style>
  <w:style w:type="table" w:styleId="StGen10" w:customStyle="1">
    <w:name w:val="StGen10"/>
    <w:basedOn w:val="TableNormal1"/>
    <w:tblPr>
      <w:tblStyleRowBandSize w:val="1"/>
      <w:tblStyleColBandSize w:val="1"/>
      <w:tblCellMar>
        <w:left w:w="115" w:type="dxa"/>
        <w:right w:w="115" w:type="dxa"/>
      </w:tblCellMar>
    </w:tblPr>
  </w:style>
  <w:style w:type="table" w:styleId="TableGrid">
    <w:name w:val="Table Grid"/>
    <w:basedOn w:val="TableNormal"/>
    <w:uiPriority w:val="59"/>
    <w:pPr>
      <w:spacing w:after="0"/>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TOCHeading">
    <w:name w:val="TOC Heading"/>
    <w:basedOn w:val="Heading1"/>
    <w:next w:val="Normal"/>
    <w:uiPriority w:val="39"/>
    <w:unhideWhenUsed/>
    <w:qFormat/>
    <w:pPr>
      <w:spacing w:before="240" w:line="259" w:lineRule="auto"/>
      <w:jc w:val="left"/>
      <w:outlineLvl w:val="9"/>
    </w:pPr>
    <w:rPr>
      <w:rFonts w:asciiTheme="majorHAnsi" w:hAnsiTheme="majorHAnsi" w:eastAsiaTheme="majorEastAsia" w:cstheme="majorBidi"/>
      <w:b w:val="0"/>
      <w:color w:val="365F91" w:themeColor="accent1" w:themeShade="BF"/>
      <w:sz w:val="32"/>
      <w:szCs w:val="32"/>
      <w:lang w:bidi="ar-SA"/>
    </w:rPr>
  </w:style>
  <w:style w:type="paragraph" w:styleId="TOC1">
    <w:name w:val="toc 1"/>
    <w:uiPriority w:val="39"/>
    <w:unhideWhenUsed/>
    <w:rsid w:val="26C3F31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793042825"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521ba48-1715-4574-bb48-b63f655e3b4c" xsi:nil="true"/>
    <lcf76f155ced4ddcb4097134ff3c332f xmlns="a3f9909d-2ca0-479e-9cd0-4445d0b2893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9AF2F63E8B2CD448AE76E168C8C0CE6" ma:contentTypeVersion="11" ma:contentTypeDescription="Create a new document." ma:contentTypeScope="" ma:versionID="06bcc06ff2702c88e7cc9030dd46b707">
  <xsd:schema xmlns:xsd="http://www.w3.org/2001/XMLSchema" xmlns:xs="http://www.w3.org/2001/XMLSchema" xmlns:p="http://schemas.microsoft.com/office/2006/metadata/properties" xmlns:ns2="a3f9909d-2ca0-479e-9cd0-4445d0b28931" xmlns:ns3="e521ba48-1715-4574-bb48-b63f655e3b4c" targetNamespace="http://schemas.microsoft.com/office/2006/metadata/properties" ma:root="true" ma:fieldsID="d4382526d1cebeb60d651eb355012bd5" ns2:_="" ns3:_="">
    <xsd:import namespace="a3f9909d-2ca0-479e-9cd0-4445d0b28931"/>
    <xsd:import namespace="e521ba48-1715-4574-bb48-b63f655e3b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9909d-2ca0-479e-9cd0-4445d0b289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785bde-6f2f-4db1-ab83-08f90c9ee8b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21ba48-1715-4574-bb48-b63f655e3b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acfce8-6e87-4365-a9af-281497f34e4f}" ma:internalName="TaxCatchAll" ma:showField="CatchAllData" ma:web="e521ba48-1715-4574-bb48-b63f655e3b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AxwQNM6h3xo8KdgGn1P1ThP4aw==">CgMxLjAaHwoBMBIaChgICVIUChJ0YWJsZS4xZG05b3Z1YTUyOTcyDmguaW5vbjUwajJnd2NvMgloLjMwajB6bGwyCWguMWZvYjl0ZTIJaC4zem55c2g3MgloLjJldDkycDAyCGgudHlqY3d0MgloLjNkeTZ2a20yDmguZDA0eWl3cXAyaXhiMgloLjMyMHZnZXo4AHIhMUY0S0VHcXFlN3RyMmxRSlZ6LTZLUGRwSUJSU0QzTmkw</go:docsCustomData>
</go:gDocsCustomXmlDataStorage>
</file>

<file path=customXml/itemProps1.xml><?xml version="1.0" encoding="utf-8"?>
<ds:datastoreItem xmlns:ds="http://schemas.openxmlformats.org/officeDocument/2006/customXml" ds:itemID="{2F9E957D-8EA4-4DE1-8888-1988AB5AFDC1}">
  <ds:schemaRefs>
    <ds:schemaRef ds:uri="http://schemas.microsoft.com/sharepoint/v3/contenttype/forms"/>
  </ds:schemaRefs>
</ds:datastoreItem>
</file>

<file path=customXml/itemProps2.xml><?xml version="1.0" encoding="utf-8"?>
<ds:datastoreItem xmlns:ds="http://schemas.openxmlformats.org/officeDocument/2006/customXml" ds:itemID="{15579CF3-0EB2-4DA5-B19F-6737F28C4C0D}">
  <ds:schemaRefs>
    <ds:schemaRef ds:uri="http://schemas.openxmlformats.org/officeDocument/2006/bibliography"/>
  </ds:schemaRefs>
</ds:datastoreItem>
</file>

<file path=customXml/itemProps3.xml><?xml version="1.0" encoding="utf-8"?>
<ds:datastoreItem xmlns:ds="http://schemas.openxmlformats.org/officeDocument/2006/customXml" ds:itemID="{7C1B5194-E3CB-4EBC-913B-48269EC878F4}">
  <ds:schemaRefs>
    <ds:schemaRef ds:uri="http://schemas.microsoft.com/office/2006/metadata/properties"/>
    <ds:schemaRef ds:uri="http://schemas.microsoft.com/office/infopath/2007/PartnerControls"/>
    <ds:schemaRef ds:uri="e521ba48-1715-4574-bb48-b63f655e3b4c"/>
    <ds:schemaRef ds:uri="a3f9909d-2ca0-479e-9cd0-4445d0b28931"/>
  </ds:schemaRefs>
</ds:datastoreItem>
</file>

<file path=customXml/itemProps4.xml><?xml version="1.0" encoding="utf-8"?>
<ds:datastoreItem xmlns:ds="http://schemas.openxmlformats.org/officeDocument/2006/customXml" ds:itemID="{1D85976A-941F-41E5-A074-BB47B131167A}"/>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Evgeny Pessetsky</dc:creator>
  <keywords/>
  <lastModifiedBy>Gali Sheskin</lastModifiedBy>
  <revision>33</revision>
  <dcterms:created xsi:type="dcterms:W3CDTF">2026-03-01T15:43:00.0000000Z</dcterms:created>
  <dcterms:modified xsi:type="dcterms:W3CDTF">2026-06-23T17:48:13.3409764Z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fabb22f-be40-449b-80c6-37ab0a56dba3_Enabled">
    <vt:lpwstr>true</vt:lpwstr>
  </property>
  <property fmtid="{D5CDD505-2E9C-101B-9397-08002B2CF9AE}" pid="3" name="MSIP_Label_dfabb22f-be40-449b-80c6-37ab0a56dba3_SetDate">
    <vt:lpwstr>2024-10-22T18:16:53Z</vt:lpwstr>
  </property>
  <property fmtid="{D5CDD505-2E9C-101B-9397-08002B2CF9AE}" pid="4" name="MSIP_Label_dfabb22f-be40-449b-80c6-37ab0a56dba3_Method">
    <vt:lpwstr>Standard</vt:lpwstr>
  </property>
  <property fmtid="{D5CDD505-2E9C-101B-9397-08002B2CF9AE}" pid="5" name="MSIP_Label_dfabb22f-be40-449b-80c6-37ab0a56dba3_Name">
    <vt:lpwstr>defa4170-0d19-0005-0004-bc88714345d2</vt:lpwstr>
  </property>
  <property fmtid="{D5CDD505-2E9C-101B-9397-08002B2CF9AE}" pid="6" name="MSIP_Label_dfabb22f-be40-449b-80c6-37ab0a56dba3_SiteId">
    <vt:lpwstr>931e2e5a-fe07-4afd-af1d-8bb29966e0ed</vt:lpwstr>
  </property>
  <property fmtid="{D5CDD505-2E9C-101B-9397-08002B2CF9AE}" pid="7" name="MSIP_Label_dfabb22f-be40-449b-80c6-37ab0a56dba3_ActionId">
    <vt:lpwstr>759ef9d5-6978-4792-82c7-dab239c5657f</vt:lpwstr>
  </property>
  <property fmtid="{D5CDD505-2E9C-101B-9397-08002B2CF9AE}" pid="8" name="MSIP_Label_dfabb22f-be40-449b-80c6-37ab0a56dba3_ContentBits">
    <vt:lpwstr>0</vt:lpwstr>
  </property>
  <property fmtid="{D5CDD505-2E9C-101B-9397-08002B2CF9AE}" pid="9" name="ContentTypeId">
    <vt:lpwstr>0x010100F9AF2F63E8B2CD448AE76E168C8C0CE6</vt:lpwstr>
  </property>
  <property fmtid="{D5CDD505-2E9C-101B-9397-08002B2CF9AE}" pid="10" name="MediaServiceImageTags">
    <vt:lpwstr/>
  </property>
  <property fmtid="{D5CDD505-2E9C-101B-9397-08002B2CF9AE}" pid="11" name="docLang">
    <vt:lpwstr>en</vt:lpwstr>
  </property>
</Properties>
</file>