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pic="http://schemas.openxmlformats.org/drawingml/2006/picture" xmlns:a14="http://schemas.microsoft.com/office/drawing/2010/main" mc:Ignorable="w14 w15 w16se w16cid w16 w16cex w16sdtdh wp14">
  <w:body>
    <w:p w14:paraId="03717092" w14:textId="233C45F3">
      <w:pPr>
        <w:pBdr/>
        <w:spacing/>
        <w:ind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</w:r>
      <w:r>
        <w:rPr>
          <w:sz w:val="48"/>
          <w:szCs w:val="48"/>
          <w:lang w:val="en-US"/>
        </w:rPr>
      </w:r>
    </w:p>
    <w:p w14:paraId="1DE4BC8E" w14:textId="1E4327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/>
      </w:pPr>
      <w:r>
        <w:rPr>
          <w:rStyle w:val="874"/>
        </w:rPr>
      </w:r>
      <w:r/>
    </w:p>
    <w:p w14:paraId="12BF584A" w14:textId="77777777"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0" w:firstLine="0"/>
        <w:rPr>
          <w:sz w:val="48"/>
          <w:szCs w:val="48"/>
          <w:lang w:val="en-US"/>
        </w:rPr>
      </w:pPr>
      <w:bookmarkStart w:name="_heading=h.kdbtk9bbn3xp" w:id="0"/>
      <w:bookmarkEnd w:id="0"/>
    </w:p>
    <w:p w:rsidR="2D118DD9" w:rsidP="2D118DD9" w:rsidRDefault="2D118DD9" w14:paraId="38832A55" w14:textId="680A9C66">
      <w:pPr>
        <w:widowControl w:val="0"/>
        <w:spacing w:line="240" w:lineRule="auto"/>
        <w:jc w:val="center"/>
        <w:rPr>
          <w:b w:val="1"/>
          <w:bCs w:val="1"/>
          <w:sz w:val="56"/>
          <w:szCs w:val="56"/>
        </w:rPr>
      </w:pPr>
      <w:r w:rsidRPr="2D118DD9" w:rsidR="2D118DD9">
        <w:rPr>
          <w:b w:val="1"/>
          <w:bCs w:val="1"/>
          <w:sz w:val="56"/>
          <w:szCs w:val="56"/>
        </w:rPr>
        <w:t>Supplier Relationships Policy</w:t>
      </w:r>
      <w:bookmarkStart w:name="_Hlk208841655" w:id="1"/>
    </w:p>
    <w:p xmlns:wp14="http://schemas.microsoft.com/office/word/2010/wordml" w14:paraId="37ED69F7" wp14:textId="77777777">
      <w:pPr>
        <w:widowControl w:val="false"/>
        <w:pBdr/>
        <w:spacing w:line="240" w:lineRule="auto"/>
        <w:ind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IS-P-0</w:t>
      </w:r>
      <w:r>
        <w:rPr>
          <w:b/>
          <w:bCs/>
          <w:sz w:val="32"/>
          <w:szCs w:val="32"/>
          <w:lang w:val="en-US"/>
        </w:rPr>
        <w:t xml:space="preserve">10</w:t>
      </w:r>
      <w:bookmarkEnd w:id="1"/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 w:rsidP="185E1A0D" w14:textId="544341A1" w14:paraId="6D04672B">
      <w:pPr>
        <w:pStyle w:val="852"/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0" w:firstLine="0"/>
        <w:jc w:val="center"/>
        <w:rPr>
          <w:b w:val="1"/>
          <w:bCs w:val="1"/>
          <w:sz w:val="48"/>
          <w:szCs w:val="48"/>
          <w:lang w:val="en-US"/>
        </w:rPr>
      </w:pPr>
    </w:p>
    <w:p w14:paraId="5CF6D2DB" w14:textId="77777777"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/>
      </w:pPr>
      <w:r/>
      <w:r/>
    </w:p>
    <w:p xmlns:wp14="http://schemas.microsoft.com/office/word/2010/wordml" w14:paraId="3544997D" wp14:textId="77777777">
      <w:pPr>
        <w:widowControl w:val="false"/>
        <w:pBdr/>
        <w:spacing w:after="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sz w:val="24"/>
          <w:szCs w:val="24"/>
          <w:lang w:val="en-US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z w:val="24"/>
          <w:szCs w:val="24"/>
          <w:lang w:val="en-US"/>
        </w:rPr>
        <w:t xml:space="preserve">Document Revision History:</w:t>
      </w:r>
      <w:r>
        <w:rPr>
          <w:rFonts w:ascii="Calibri" w:hAnsi="Calibri" w:eastAsia="Calibri" w:cs="Calibri"/>
          <w:b w:val="0"/>
          <w:bCs w:val="0"/>
          <w:i w:val="0"/>
          <w:iCs w:val="0"/>
          <w:sz w:val="24"/>
          <w:szCs w:val="24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24"/>
          <w:szCs w:val="24"/>
          <w:lang w:val="en-US"/>
        </w:rPr>
      </w:r>
    </w:p>
    <w:p xmlns:wp14="http://schemas.microsoft.com/office/word/2010/wordml" w14:paraId="48CBEC81" wp14:textId="77777777">
      <w:pPr>
        <w:widowControl w:val="false"/>
        <w:pBdr/>
        <w:spacing w:after="0" w:line="240" w:lineRule="auto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sz w:val="32"/>
          <w:szCs w:val="32"/>
          <w:lang w:val="en-US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z w:val="32"/>
          <w:szCs w:val="32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32"/>
          <w:szCs w:val="32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32"/>
          <w:szCs w:val="32"/>
          <w:lang w:val="en-US"/>
        </w:rPr>
      </w:r>
    </w:p>
    <w:tbl>
      <w:tblPr>
        <w:tblStyle w:val="873"/>
        <w:tblInd w:w="-120" w:type="dxa"/>
        <w:tblW w:w="0" w:type="auto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tblBorders>
        <w:tblLook w:val="0000" w:firstRow="0" w:lastRow="0" w:firstColumn="0" w:lastColumn="0" w:noHBand="0" w:noVBand="0"/>
      </w:tblPr>
      <w:tblGrid>
        <w:gridCol w:w="1755"/>
        <w:gridCol w:w="1980"/>
        <w:gridCol w:w="2025"/>
        <w:gridCol w:w="1800"/>
        <w:gridCol w:w="2430"/>
      </w:tblGrid>
      <w:tr xmlns:wp14="http://schemas.microsoft.com/office/word/2010/wordml" w14:paraId="6E8149C3" wp14:textId="77777777">
        <w:trPr>
          <w:trHeight w:val="300"/>
        </w:trPr>
        <w:tc>
          <w:tcPr>
            <w:shd w:val="clear" w:color="ffffff" w:fill="f2f2f2" w:themeFill="background1" w:themeFillShade="F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6405277A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  <w:t xml:space="preserve">AUTHOR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shd w:val="clear" w:color="ffffff" w:fill="f2f2f2" w:themeFill="background1" w:themeFillShade="F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7BC509ED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  <w:t xml:space="preserve">REVISION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shd w:val="clear" w:color="ffffff" w:fill="f2f2f2" w:themeFill="background1" w:themeFillShade="F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379601A7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  <w:t xml:space="preserve">COMMENTS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shd w:val="clear" w:color="ffffff" w:fill="f2f2f2" w:themeFill="background1" w:themeFillShade="F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2B6A6616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  <w:t xml:space="preserve">DATE 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shd w:val="clear" w:color="ffffff" w:fill="f2f2f2" w:themeFill="background1" w:themeFillShade="F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0E9DC0CE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  <w:t xml:space="preserve">Next Review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 xmlns:wp14="http://schemas.microsoft.com/office/word/2010/wordml" w14:paraId="411318C3" wp14:textId="77777777">
        <w:trPr>
          <w:trHeight w:val="300"/>
        </w:trPr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5C4A99F7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Mor Aroeti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4859D327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1.0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0EC4EAFF" wp14:textId="77777777">
            <w:pPr>
              <w:pBdr/>
              <w:spacing w:before="0" w:beforeAutospacing="0" w:after="0" w:afterAutospacing="0" w:line="240" w:lineRule="auto"/>
              <w:ind w:left="34" w:right="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Initial 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Creation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63AB7C8C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3/2/2026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1EE18559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1/15/2027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 xmlns:wp14="http://schemas.microsoft.com/office/word/2010/wordml" w14:paraId="672A6659" wp14:textId="77777777">
        <w:trPr>
          <w:trHeight w:val="300"/>
        </w:trPr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56BDBE4D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6BF33C68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1E10301D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5DFDF235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0061048F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 xmlns:wp14="http://schemas.microsoft.com/office/word/2010/wordml" w14:paraId="0A37501D" wp14:textId="77777777">
        <w:trPr>
          <w:trHeight w:val="300"/>
        </w:trPr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32986082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03C05C06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2825D218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49D3AEC4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21890983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 xmlns:wp14="http://schemas.microsoft.com/office/word/2010/wordml" w14:paraId="5DAB6C7B" wp14:textId="77777777">
        <w:trPr>
          <w:trHeight w:val="300"/>
        </w:trPr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642B0D0E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67B65330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10590DEA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068A9FD6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706EDE3A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 xmlns:wp14="http://schemas.microsoft.com/office/word/2010/wordml" w14:paraId="02EB378F" wp14:textId="77777777">
        <w:trPr>
          <w:trHeight w:val="300"/>
        </w:trPr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755" w:type="dxa"/>
            <w:vAlign w:val="top"/>
          </w:tcPr>
          <w:p w14:paraId="6E677EC4" wp14:textId="77777777">
            <w:pPr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980" w:type="dxa"/>
            <w:vAlign w:val="top"/>
          </w:tcPr>
          <w:p w14:paraId="54C25141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025" w:type="dxa"/>
            <w:vAlign w:val="top"/>
          </w:tcPr>
          <w:p w14:paraId="639970D8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00" w:type="dxa"/>
            <w:vAlign w:val="top"/>
          </w:tcPr>
          <w:p w14:paraId="209F2DFB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430" w:type="dxa"/>
            <w:vAlign w:val="top"/>
          </w:tcPr>
          <w:p w14:paraId="41ED7ED6" wp14:textId="77777777">
            <w:pPr>
              <w:pBdr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</w:tbl>
    <w:p xmlns:wp14="http://schemas.microsoft.com/office/word/2010/wordml" w:rsidP="185E1A0D" wp14:textId="77777777" w14:paraId="3746059F">
      <w:pPr>
        <w:pStyle w:val="852"/>
        <w:widowControl w:val="0"/>
        <w:bidi w:val="false"/>
        <w:spacing w:after="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pPr>
    </w:p>
    <w:p xmlns:wp14="http://schemas.microsoft.com/office/word/2010/wordml" w14:paraId="74D28BF5" wp14:textId="77777777">
      <w:pPr>
        <w:widowControl w:val="false"/>
        <w:pBdr/>
        <w:bidi w:val="false"/>
        <w:spacing w:after="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r>
    </w:p>
    <w:p xmlns:wp14="http://schemas.microsoft.com/office/word/2010/wordml" w:rsidP="185E1A0D" w14:paraId="2B2D97D1" wp14:textId="77777777">
      <w:pPr>
        <w:widowControl w:val="0"/>
        <w:bidi w:val="false"/>
        <w:spacing w:after="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pPr>
      <w:r w:rsidRPr="185E1A0D" w:rsidR="185E1A0D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  <w:t xml:space="preserve">Review and Approvals</w:t>
      </w:r>
      <w: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r>
      <w: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r>
    </w:p>
    <w:p xmlns:wp14="http://schemas.microsoft.com/office/word/2010/wordml" w:rsidP="185E1A0D" w14:paraId="1DBB2884" wp14:textId="77777777">
      <w:pPr>
        <w:widowControl w:val="0"/>
        <w:bidi w:val="false"/>
        <w:spacing w:after="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  <w:lang w:val="en-US"/>
        </w:rPr>
      </w:pPr>
    </w:p>
    <w:tbl>
      <w:tblPr>
        <w:tblStyle w:val="873"/>
        <w:tblW w:w="946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</w:tblBorders>
        <w:tblLook w:val="0000" w:firstRow="0" w:lastRow="0" w:firstColumn="0" w:lastColumn="0" w:noHBand="0" w:noVBand="0"/>
      </w:tblPr>
      <w:tblGrid>
        <w:gridCol w:w="2385"/>
        <w:gridCol w:w="3195"/>
        <w:gridCol w:w="1875"/>
        <w:gridCol w:w="2010"/>
      </w:tblGrid>
      <w:tr xmlns:wp14="http://schemas.microsoft.com/office/word/2010/wordml" w:rsidTr="185E1A0D" w14:paraId="228B7090" wp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5" w:type="dxa"/>
            <w:shd w:val="clear" w:color="auto" w:fill="D9D9D9" w:themeFill="background1" w:themeFillShade="D9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385" w:type="dxa"/>
            <w:vAlign w:val="top"/>
          </w:tcPr>
          <w:p w:rsidP="185E1A0D" w14:paraId="7C978CE6" wp14:textId="77777777">
            <w:pPr>
              <w:widowControl w:val="0"/>
              <w:bidi w:val="false"/>
              <w:spacing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85E1A0D" w:rsidR="185E1A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NAME  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95" w:type="dxa"/>
            <w:shd w:val="clear" w:color="auto" w:fill="D9D9D9" w:themeFill="background1" w:themeFillShade="D9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3195" w:type="dxa"/>
            <w:vAlign w:val="top"/>
          </w:tcPr>
          <w:p w:rsidP="185E1A0D" w14:paraId="2D5C2F04" wp14:textId="77777777">
            <w:pPr>
              <w:widowControl w:val="0"/>
              <w:bidi w:val="false"/>
              <w:spacing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85E1A0D" w:rsidR="185E1A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TITLE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75" w:type="dxa"/>
            <w:shd w:val="clear" w:color="auto" w:fill="D9D9D9" w:themeFill="background1" w:themeFillShade="D9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75" w:type="dxa"/>
            <w:vAlign w:val="top"/>
          </w:tcPr>
          <w:p w:rsidP="185E1A0D" w14:paraId="72050305" wp14:textId="77777777">
            <w:pPr>
              <w:widowControl w:val="0"/>
              <w:bidi w:val="false"/>
              <w:spacing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85E1A0D" w:rsidR="185E1A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DATE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0" w:type="dxa"/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top"/>
          </w:tcPr>
          <w:p w:rsidR="54A710FD" w:rsidP="185E1A0D" w:rsidRDefault="54A710FD" w14:paraId="4383D3B9" w14:textId="3288671D">
            <w:pPr>
              <w:pStyle w:val="852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85E1A0D" w:rsidR="54A710F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SIGNATURE</w:t>
            </w:r>
          </w:p>
        </w:tc>
      </w:tr>
      <w:tr xmlns:wp14="http://schemas.microsoft.com/office/word/2010/wordml" w:rsidTr="185E1A0D" w14:paraId="37C7923A" wp14:textId="77777777">
        <w:trPr>
          <w:trHeight w:val="9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2385" w:type="dxa"/>
            <w:vAlign w:val="center"/>
          </w:tcPr>
          <w:p w:rsidP="185E1A0D" w14:paraId="3EEE20D1" wp14:textId="77777777">
            <w:pPr>
              <w:widowControl w:val="0"/>
              <w:bidi w:val="false"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85E1A0D" w:rsidR="185E1A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Dekel Yaacov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3195" w:type="dxa"/>
            <w:vAlign w:val="center"/>
          </w:tcPr>
          <w:p w:rsidP="185E1A0D" w14:paraId="0F1F3F4F" wp14:textId="77777777">
            <w:pPr>
              <w:widowControl w:val="0"/>
              <w:bidi w:val="false"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185E1A0D" w:rsidR="185E1A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"/>
              </w:rPr>
              <w:t xml:space="preserve">CTO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875" w:type="dxa"/>
            <w:vAlign w:val="center"/>
          </w:tcPr>
          <w:p w:rsidP="185E1A0D" w14:paraId="6A57776B" wp14:textId="77777777">
            <w:pPr>
              <w:widowControl w:val="0"/>
              <w:bidi w:val="false"/>
              <w:spacing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85E1A0D" w:rsidR="185E1A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3/10/2026</w:t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center"/>
          </w:tcPr>
          <w:p w:rsidR="0011957C" w:rsidP="185E1A0D" w:rsidRDefault="0011957C" w14:paraId="4485E986" w14:textId="46099A15">
            <w:pPr>
              <w:pStyle w:val="852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="0011957C">
              <w:drawing>
                <wp:inline xmlns:wp14="http://schemas.microsoft.com/office/word/2010/wordprocessingDrawing" wp14:editId="070D013E" wp14:anchorId="34A8F180">
                  <wp:extent cx="445974" cy="723900"/>
                  <wp:effectExtent l="0" t="0" r="0" b="0"/>
                  <wp:docPr id="16461261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50375318" name="Picture 350375318"/>
                          <pic:cNvPicPr/>
                        </pic:nvPicPr>
                        <pic:blipFill>
                          <a:blip xmlns:r="http://schemas.openxmlformats.org/officeDocument/2006/relationships" r:embed="rId5529857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45974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xmlns:wp14="http://schemas.microsoft.com/office/word/2010/wordml" w:rsidP="185E1A0D" w14:paraId="4CD65F50" wp14:textId="77777777">
      <w:pPr>
        <w:widowControl w:val="0"/>
        <w:bidi w:val="false"/>
        <w:spacing w:before="240" w:after="0" w:line="360" w:lineRule="auto"/>
        <w:ind w:left="0" w:hanging="0"/>
        <w:rPr>
          <w:rFonts w:ascii="Calibri" w:hAnsi="Calibri" w:eastAsia="Calibri" w:cs="Calibri"/>
          <w:b w:val="0"/>
          <w:bCs w:val="0"/>
          <w:i w:val="0"/>
          <w:iCs w:val="0"/>
          <w:sz w:val="36"/>
          <w:szCs w:val="36"/>
          <w:lang w:val="en-US"/>
        </w:rPr>
      </w:pPr>
    </w:p>
    <w:p w:rsidP="185E1A0D" w14:paraId="47D487C2" w14:textId="60C90662">
      <w:pPr>
        <w:pStyle w:val="852"/>
        <w:widowControl w:val="false"/>
        <w:spacing/>
        <w:ind w:left="0" w:firstLine="0"/>
        <w:rPr>
          <w:lang w:val="en-US"/>
        </w:rPr>
      </w:pPr>
      <w:bookmarkStart w:name="_heading=h.k8c424obszvd" w:id="3"/>
      <w:bookmarkEnd w:id="3"/>
    </w:p>
    <w:p w14:paraId="5769D9BB" w14:textId="4A235083">
      <w:pPr>
        <w:widowControl w:val="false"/>
        <w:pBdr/>
        <w:spacing/>
        <w:ind w:left="0" w:firstLine="0"/>
        <w:rPr/>
      </w:pPr>
      <w:r>
        <w:rPr>
          <w:sz w:val="48"/>
          <w:szCs w:val="48"/>
        </w:rPr>
        <w:t xml:space="preserve">Contents</w:t>
      </w:r>
      <w:r/>
    </w:p>
    <w:p w14:paraId="12D2AD0F" w14:textId="77777777">
      <w:pPr>
        <w:pBdr/>
        <w:spacing/>
        <w:ind w:left="0" w:firstLine="0"/>
        <w:rPr/>
      </w:pPr>
      <w:r/>
      <w:r/>
    </w:p>
    <w:sdt>
      <w:sdtPr>
        <w:id w:val="128385278"/>
        <w:docPartObj>
          <w:docPartGallery w:val="Table of Contents"/>
          <w:docPartUnique w:val="true"/>
        </w:docPartObj>
        <w:rPr/>
      </w:sdtPr>
      <w:sdtContent>
        <w:p xmlns:wp14="http://schemas.microsoft.com/office/word/2010/wordml" w14:paraId="1B723235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r>
            <w:rPr>
              <w:color w:val="000000"/>
            </w:rPr>
          </w:r>
          <w:hyperlink w:tooltip="#_Toc1" w:history="1" w:anchor="_Toc1">
            <w:r>
              <w:rPr>
                <w:rFonts w:ascii="Calibri" w:hAnsi="Calibri" w:eastAsia="Calibri" w:cs="Calibri"/>
              </w:rPr>
              <w:t xml:space="preserve">1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Document information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_Toc1 \h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</w:hyperlink>
          <w:r/>
        </w:p>
        <w:p xmlns:wp14="http://schemas.microsoft.com/office/word/2010/wordml" w14:paraId="727495FC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41" w:history="1" w:anchor="_Toc217344041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Purpose, Scope, and Audience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_Toc217344041 \h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6C1ED50A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42" w:history="1" w:anchor="_Toc217344042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 Definitions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_Toc217344042 \h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06555F30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3" w:history="1" w:anchor="_Toc217344043">
            <w:r>
              <w:rPr>
                <w:rFonts w:ascii="Calibri" w:hAnsi="Calibri" w:eastAsia="Calibri" w:cs="Calibri"/>
              </w:rPr>
              <w:t xml:space="preserve">2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Supplier Risk Classification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_Toc217344043 \h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</w:hyperlink>
          <w:r/>
        </w:p>
        <w:p xmlns:wp14="http://schemas.microsoft.com/office/word/2010/wordml" w14:paraId="18F98DE5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4" w:history="1" w:anchor="_Toc217344044">
            <w:r>
              <w:rPr>
                <w:rFonts w:ascii="Calibri" w:hAnsi="Calibri" w:eastAsia="Calibri" w:cs="Calibri"/>
              </w:rPr>
              <w:t xml:space="preserve">3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Due diligence and risk assessment 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_Toc217344044 \h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/>
        </w:p>
        <w:p xmlns:wp14="http://schemas.microsoft.com/office/word/2010/wordml" w14:paraId="36946F50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5" w:history="1" w:anchor="_Toc217344045">
            <w:r>
              <w:rPr>
                <w:rFonts w:ascii="Calibri" w:hAnsi="Calibri" w:eastAsia="Calibri" w:cs="Calibri"/>
              </w:rPr>
              <w:t xml:space="preserve">4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Addressing security within supplier agreements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_Toc217344045 \h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/>
        </w:p>
        <w:p xmlns:wp14="http://schemas.microsoft.com/office/word/2010/wordml" w14:paraId="5239DBF8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6" w:history="1" w:anchor="_Toc217344046">
            <w:r>
              <w:rPr>
                <w:rFonts w:ascii="Calibri" w:hAnsi="Calibri" w:eastAsia="Calibri" w:cs="Calibri"/>
              </w:rPr>
              <w:t xml:space="preserve">5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Non-Disclosure Agreements 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_Toc217344046 \h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/>
        </w:p>
        <w:p xmlns:wp14="http://schemas.microsoft.com/office/word/2010/wordml" w14:paraId="3914D3BB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7" w:history="1" w:anchor="_Toc217344047">
            <w:r>
              <w:rPr>
                <w:rFonts w:ascii="Calibri" w:hAnsi="Calibri" w:eastAsia="Calibri" w:cs="Calibri"/>
              </w:rPr>
              <w:t xml:space="preserve">6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Monitoring and review of supplier services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_Toc217344047 \h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</w:p>
        <w:p xmlns:wp14="http://schemas.microsoft.com/office/word/2010/wordml" w14:paraId="5AAD6A63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48" w:history="1" w:anchor="_Toc217344048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6.1 Cross-Verification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_Toc217344048 \h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7FCC2B38" wp14:textId="77777777">
          <w:pPr>
            <w:pStyle w:val="189"/>
            <w:pBdr/>
            <w:tabs>
              <w:tab w:val="left" w:leader="none" w:pos="850"/>
              <w:tab w:val="right" w:leader="none" w:pos="12000"/>
            </w:tabs>
            <w:spacing/>
            <w:ind/>
            <w:rPr/>
          </w:pPr>
          <w:hyperlink w:tooltip="#_Toc217344049" w:history="1" w:anchor="_Toc217344049">
            <w:r>
              <w:rPr>
                <w:rFonts w:ascii="Calibri" w:hAnsi="Calibri" w:eastAsia="Calibri" w:cs="Calibri"/>
              </w:rPr>
              <w:t xml:space="preserve">7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Managing changes to supplier services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_Toc217344049 \h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</w:p>
        <w:p xmlns:wp14="http://schemas.microsoft.com/office/word/2010/wordml" w14:paraId="27FF9F05" wp14:textId="77777777">
          <w:pPr>
            <w:pStyle w:val="190"/>
            <w:pBdr/>
            <w:tabs>
              <w:tab w:val="left" w:leader="none" w:pos="567"/>
              <w:tab w:val="right" w:leader="none" w:pos="12000"/>
            </w:tabs>
            <w:spacing/>
            <w:ind/>
            <w:rPr/>
          </w:pPr>
          <w:hyperlink w:tooltip="#_Toc217344050" w:history="1" w:anchor="_Toc217344050">
            <w:r>
              <w:rPr>
                <w:rFonts w:ascii="Calibri" w:hAnsi="Calibri" w:eastAsia="Calibri" w:cs="Calibri"/>
              </w:rPr>
              <w:t xml:space="preserve">7.1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Changes within </w:t>
            </w:r>
            <w:r>
              <w:rPr>
                <w:rStyle w:val="187"/>
              </w:rPr>
              <w:t xml:space="preserve">contract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_Toc217344050 \h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</w:p>
        <w:p xmlns:wp14="http://schemas.microsoft.com/office/word/2010/wordml" w14:paraId="7F8A4F4F" wp14:textId="77777777">
          <w:pPr>
            <w:pStyle w:val="190"/>
            <w:pBdr/>
            <w:tabs>
              <w:tab w:val="left" w:leader="none" w:pos="567"/>
              <w:tab w:val="right" w:leader="none" w:pos="12000"/>
            </w:tabs>
            <w:spacing/>
            <w:ind/>
            <w:rPr/>
          </w:pPr>
          <w:hyperlink w:tooltip="#_Toc217344051" w:history="1" w:anchor="_Toc217344051">
            <w:r>
              <w:rPr>
                <w:rFonts w:ascii="Calibri" w:hAnsi="Calibri" w:eastAsia="Calibri" w:cs="Calibri"/>
              </w:rPr>
              <w:t xml:space="preserve">7.2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Contractual Disputes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_Toc217344051 \h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</w:p>
        <w:p xmlns:wp14="http://schemas.microsoft.com/office/word/2010/wordml" w14:paraId="2CE6BDE9" wp14:textId="77777777">
          <w:pPr>
            <w:pStyle w:val="190"/>
            <w:pBdr/>
            <w:tabs>
              <w:tab w:val="left" w:leader="none" w:pos="567"/>
              <w:tab w:val="right" w:leader="none" w:pos="12000"/>
            </w:tabs>
            <w:spacing/>
            <w:ind/>
            <w:rPr/>
          </w:pPr>
          <w:hyperlink w:tooltip="#_Toc217344052" w:history="1" w:anchor="_Toc217344052">
            <w:r>
              <w:rPr>
                <w:rFonts w:ascii="Calibri" w:hAnsi="Calibri" w:eastAsia="Calibri" w:cs="Calibri"/>
              </w:rPr>
              <w:t xml:space="preserve">7.3</w:t>
            </w:r>
            <w:r>
              <w:tab/>
            </w:r>
            <w:r>
              <w:rPr>
                <w:rStyle w:val="187"/>
              </w:rPr>
            </w:r>
            <w:r>
              <w:rPr>
                <w:rStyle w:val="187"/>
              </w:rPr>
              <w:t xml:space="preserve">End of contract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_Toc217344052 \h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/>
        </w:p>
        <w:p xmlns:wp14="http://schemas.microsoft.com/office/word/2010/wordml" w14:paraId="063E9CAA" wp14:textId="77777777">
          <w:pPr>
            <w:pStyle w:val="189"/>
            <w:pBdr/>
            <w:tabs>
              <w:tab w:val="right" w:leader="none" w:pos="12000"/>
            </w:tabs>
            <w:spacing/>
            <w:ind/>
            <w:rPr/>
          </w:pPr>
          <w:hyperlink w:tooltip="#_Toc217344053" w:history="1" w:anchor="_Toc217344053">
            <w:r>
              <w:rPr>
                <w:rStyle w:val="187"/>
              </w:rPr>
            </w:r>
            <w:r>
              <w:rPr>
                <w:rStyle w:val="187"/>
                <w:lang w:val="en-US"/>
              </w:rPr>
              <w:t xml:space="preserve">8 </w:t>
            </w:r>
            <w:r>
              <w:rPr>
                <w:rStyle w:val="187"/>
              </w:rPr>
              <w:t xml:space="preserve">Validity and document management</w:t>
            </w:r>
            <w:r>
              <w:rPr>
                <w:rStyle w:val="187"/>
              </w:rPr>
            </w:r>
            <w:r>
              <w:tab/>
            </w:r>
            <w:r>
              <w:fldChar w:fldCharType="begin"/>
            </w:r>
            <w:r>
              <w:instrText xml:space="preserve">PAGEREF _Toc217344053 \h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/>
        </w:p>
        <w:p xmlns:wp14="http://schemas.microsoft.com/office/word/2010/wordml" w14:paraId="2A74A201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54" w:history="1" w:anchor="_Toc217344054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8.1 Policy Effective Date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_Toc217344054 \h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0F8B0447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55" w:history="1" w:anchor="_Toc217344055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8.2 Ownership and Review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_Toc217344055 \h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12C7006E" wp14:textId="77777777">
          <w:pPr>
            <w:pStyle w:val="192"/>
            <w:pBdr/>
            <w:tabs>
              <w:tab w:val="right" w:leader="none" w:pos="12000"/>
            </w:tabs>
            <w:spacing/>
            <w:ind/>
            <w:rPr>
              <w:rFonts w:ascii="Calibri" w:hAnsi="Calibri" w:cs="Calibri"/>
            </w:rPr>
          </w:pPr>
          <w:hyperlink w:tooltip="#_Toc217344056" w:history="1" w:anchor="_Toc217344056">
            <w:r>
              <w:rPr>
                <w:rStyle w:val="187"/>
              </w:rPr>
            </w:r>
            <w:r>
              <w:rPr>
                <w:rStyle w:val="187"/>
                <w:rFonts w:ascii="Calibri" w:hAnsi="Calibri" w:eastAsia="Calibri" w:cs="Calibri"/>
                <w:b/>
              </w:rPr>
              <w:t xml:space="preserve">8.3 Effectiveness Criteria</w:t>
            </w:r>
            <w:r>
              <w:rPr>
                <w:rStyle w:val="187"/>
                <w:rFonts w:ascii="Calibri" w:hAnsi="Calibri" w:eastAsia="Calibri" w:cs="Calibri"/>
              </w:rPr>
            </w:r>
            <w:r>
              <w:tab/>
            </w:r>
            <w:r>
              <w:fldChar w:fldCharType="begin"/>
            </w:r>
            <w:r>
              <w:instrText xml:space="preserve">PAGEREF _Toc217344056 \h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="Calibri" w:hAnsi="Calibri" w:cs="Calibri"/>
            </w:rPr>
          </w:r>
        </w:p>
        <w:p xmlns:wp14="http://schemas.microsoft.com/office/word/2010/wordml" w14:paraId="395E5848" wp14:textId="77777777">
          <w:pPr>
            <w:widowControl w:val="false"/>
            <w:pBdr/>
            <w:tabs>
              <w:tab w:val="right" w:leader="none" w:pos="12000"/>
            </w:tabs>
            <w:spacing w:before="60" w:line="240" w:lineRule="auto"/>
            <w:ind w:left="360" w:firstLine="360"/>
            <w:jc w:val="left"/>
            <w:rPr>
              <w:color w:val="000000"/>
            </w:rPr>
          </w:pPr>
          <w:r/>
          <w:r>
            <w:fldChar w:fldCharType="end"/>
          </w:r>
          <w:r>
            <w:rPr>
              <w:color w:val="000000"/>
            </w:rPr>
          </w:r>
          <w:r/>
        </w:p>
      </w:sdtContent>
    </w:sdt>
    <w:p w14:paraId="5867C79E" w14:textId="77777777">
      <w:pPr>
        <w:pBdr/>
        <w:spacing/>
        <w:ind w:left="0" w:firstLine="0"/>
        <w:rPr/>
      </w:pPr>
      <w:r/>
      <w:r/>
    </w:p>
    <w:p w14:paraId="2061DD67" w14:textId="77777777">
      <w:pPr>
        <w:pStyle w:val="853"/>
        <w:pBdr/>
        <w:spacing/>
        <w:ind w:left="0" w:firstLine="0"/>
        <w:rPr/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2240" w:h="15840" w:orient="portrait"/>
          <w:pgMar w:top="1440" w:right="1440" w:bottom="1440" w:left="1440" w:header="720" w:footer="720" w:gutter="0"/>
          <w:pgNumType w:start="0"/>
          <w:cols w:equalWidth="1" w:space="720" w:num="1" w:sep="0"/>
          <w:titlePg/>
        </w:sectPr>
      </w:pPr>
      <w:r/>
      <w:bookmarkStart w:name="_heading=h.ua0guxa4gyvv" w:id="6"/>
      <w:r/>
      <w:bookmarkEnd w:id="6"/>
      <w:r>
        <w:br w:type="page" w:clear="all"/>
      </w:r>
      <w:r/>
    </w:p>
    <w:p w14:paraId="65778C8F" w14:textId="77777777">
      <w:pPr>
        <w:pStyle w:val="853"/>
        <w:numPr>
          <w:ilvl w:val="0"/>
          <w:numId w:val="5"/>
        </w:numPr>
        <w:pBdr/>
        <w:spacing/>
        <w:ind w:left="435" w:hanging="435"/>
        <w:rPr/>
      </w:pPr>
      <w:r/>
      <w:bookmarkStart w:name="_Toc1" w:id="21"/>
      <w:r/>
      <w:bookmarkStart w:name="_heading=h.gtyu6k67ap0v" w:id="7"/>
      <w:r/>
      <w:bookmarkEnd w:id="7"/>
      <w:r>
        <w:t xml:space="preserve">Document information</w:t>
      </w:r>
      <w:bookmarkEnd w:id="21"/>
      <w:r/>
      <w:r/>
    </w:p>
    <w:p xmlns:wp14="http://schemas.microsoft.com/office/word/2010/wordml" w14:paraId="5A9D1833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/>
      <w:bookmarkStart w:name="_Toc217344041" w:id="22"/>
      <w:r>
        <w:rPr>
          <w:rFonts w:ascii="Calibri" w:hAnsi="Calibri" w:eastAsia="Calibri" w:cs="Calibri"/>
          <w:b/>
          <w:color w:val="000000"/>
          <w:sz w:val="24"/>
        </w:rPr>
        <w:t xml:space="preserve">Purpose, Scope, and Audience</w:t>
      </w:r>
      <w:bookmarkEnd w:id="22"/>
      <w:r/>
      <w:r>
        <w:rPr>
          <w:rFonts w:ascii="Calibri" w:hAnsi="Calibri" w:eastAsia="Calibri" w:cs="Calibri"/>
        </w:rPr>
      </w:r>
    </w:p>
    <w:p xmlns:wp14="http://schemas.microsoft.com/office/word/2010/wordml" w14:paraId="427592F2" wp14:textId="77777777">
      <w:pPr>
        <w:pStyle w:val="875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Purpose: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To minimize the risk of security breaches originating from interactions with external parties and to define security standards for third-party contracts.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27DE1560" wp14:textId="77777777">
      <w:pPr>
        <w:pStyle w:val="875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Scope: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This policy applies to the entire organization, including all employees, suppliers, and partners.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714AEC06" wp14:textId="77777777">
      <w:pPr>
        <w:pStyle w:val="875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Audience: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All personnel involved in the procurement, management, or technical oversight of third-party services.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:rsidP="5D8688A6" w14:paraId="18F6879C" wp14:textId="77777777">
      <w:pPr>
        <w:pStyle w:val="875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b w:val="1"/>
          <w:bCs w:val="1"/>
          <w:color w:val="000000"/>
          <w:sz w:val="22"/>
          <w:szCs w:val="22"/>
          <w:lang w:val="en-US"/>
        </w:rPr>
        <w:t xml:space="preserve">Control: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This document is created and maintained by the 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CISO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. It is reviewed and formally approved by management at least annually.</w:t>
      </w:r>
      <w:r>
        <w:rPr>
          <w:rFonts w:ascii="Calibri" w:hAnsi="Calibri" w:eastAsia="Calibri" w:cs="Calibri"/>
          <w:sz w:val="22"/>
          <w:szCs w:val="22"/>
        </w:rPr>
      </w:r>
    </w:p>
    <w:p w14:paraId="3E309565" w14:textId="070C26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720" w:firstLine="0"/>
        <w:rPr>
          <w:rFonts w:ascii="Calibri" w:hAnsi="Calibri" w:cs="Calibri"/>
        </w:rPr>
      </w:pPr>
      <w:r>
        <w:rPr>
          <w:rFonts w:ascii="Calibri" w:hAnsi="Calibri" w:eastAsia="Calibri" w:cs="Calibri"/>
          <w:lang w:val="en-US"/>
        </w:rPr>
      </w:r>
      <w:r>
        <w:rPr>
          <w:rFonts w:ascii="Calibri" w:hAnsi="Calibri" w:eastAsia="Calibri" w:cs="Calibri"/>
        </w:rPr>
      </w:r>
    </w:p>
    <w:p w14:paraId="68E0087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</w:rPr>
      </w:r>
      <w:r>
        <w:rPr>
          <w:rFonts w:ascii="Calibri" w:hAnsi="Calibri" w:eastAsia="Calibri" w:cs="Calibri"/>
          <w:color w:val="000000"/>
        </w:rPr>
      </w:r>
    </w:p>
    <w:p xmlns:wp14="http://schemas.microsoft.com/office/word/2010/wordml" w14:paraId="458F3D58" wp14:textId="77777777">
      <w:pPr>
        <w:pBdr/>
        <w:spacing/>
        <w:ind w:left="0" w:firstLine="0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 xmlns:wp14="http://schemas.microsoft.com/office/word/2010/wordml" w14:paraId="56425616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/>
      <w:bookmarkStart w:name="_Toc217344042" w:id="23"/>
      <w:r>
        <w:rPr>
          <w:rFonts w:ascii="Calibri" w:hAnsi="Calibri" w:eastAsia="Calibri" w:cs="Calibri"/>
          <w:b/>
          <w:color w:val="000000"/>
          <w:sz w:val="24"/>
        </w:rPr>
        <w:t xml:space="preserve"> Definitions</w:t>
      </w:r>
      <w:bookmarkEnd w:id="23"/>
      <w:r/>
      <w:r>
        <w:rPr>
          <w:rFonts w:ascii="Calibri" w:hAnsi="Calibri" w:eastAsia="Calibri" w:cs="Calibri"/>
        </w:rPr>
      </w:r>
    </w:p>
    <w:p xmlns:wp14="http://schemas.microsoft.com/office/word/2010/wordml" w:rsidP="5D8688A6" w14:paraId="3C85275E" wp14:textId="77777777">
      <w:pPr>
        <w:pStyle w:val="875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b w:val="1"/>
          <w:bCs w:val="1"/>
          <w:color w:val="000000"/>
          <w:sz w:val="22"/>
          <w:szCs w:val="22"/>
          <w:lang w:val="en-US"/>
        </w:rPr>
        <w:t xml:space="preserve">Supplier: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Any external party or entity providing services, software, infrastructure, or operational support involving enSights’s systems or data. This includes cloud providers (CSPs), software vendors (SaaS), freelancers, and consultants.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:rsidP="5D8688A6" w14:paraId="20446D86" wp14:textId="77777777">
      <w:pPr>
        <w:pStyle w:val="875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b w:val="1"/>
          <w:bCs w:val="1"/>
          <w:color w:val="000000"/>
          <w:sz w:val="22"/>
          <w:szCs w:val="22"/>
          <w:lang w:val="en-US"/>
        </w:rPr>
        <w:t xml:space="preserve">Freelancers: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Treated as internal employees regarding security requirements, including background checks and mandatory training.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50E2C489" wp14:textId="77777777">
      <w:pPr>
        <w:pStyle w:val="853"/>
        <w:numPr>
          <w:ilvl w:val="0"/>
          <w:numId w:val="10"/>
        </w:numPr>
        <w:pBdr/>
        <w:spacing/>
        <w:ind w:left="435" w:hanging="435"/>
        <w:rPr/>
      </w:pPr>
      <w:r/>
      <w:bookmarkStart w:name="_Toc217344043" w:id="24"/>
      <w:r/>
      <w:r>
        <w:t xml:space="preserve">Supplier Risk Classification</w:t>
      </w:r>
      <w:bookmarkEnd w:id="24"/>
      <w:r/>
      <w:r/>
    </w:p>
    <w:p xmlns:wp14="http://schemas.microsoft.com/office/word/2010/wordml" w:rsidP="5D8688A6" w14:paraId="7F153860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eastAsia="Calibri" w:cs="Calibri"/>
          <w:color w:val="000000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enSights utilizes a risk-based approach to categorize suppliers. The 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CISO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 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assigns a rating from 1 to 5 based on the sensitivity of the data accessed and business criticality.</w:t>
      </w:r>
      <w:r>
        <w:rPr>
          <w:rFonts w:ascii="Calibri" w:hAnsi="Calibri" w:cs="Calibri"/>
          <w:sz w:val="22"/>
          <w:szCs w:val="22"/>
        </w:rPr>
      </w:r>
    </w:p>
    <w:p xmlns:wp14="http://schemas.microsoft.com/office/word/2010/wordml" w14:paraId="362CE04F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highlight w:val="none"/>
        </w:rPr>
      </w:r>
      <w:r>
        <w:rPr>
          <w:rFonts w:ascii="Calibri" w:hAnsi="Calibri" w:eastAsia="Calibri" w:cs="Calibri"/>
          <w:color w:val="000000"/>
          <w:sz w:val="24"/>
          <w:highlight w:val="none"/>
        </w:rPr>
      </w:r>
      <w:r>
        <w:rPr>
          <w:rFonts w:ascii="Calibri" w:hAnsi="Calibri" w:eastAsia="Calibri" w:cs="Calibri"/>
          <w:color w:val="000000"/>
          <w:sz w:val="24"/>
          <w:highlight w:val="none"/>
        </w:rPr>
      </w:r>
    </w:p>
    <w:tbl>
      <w:tblPr>
        <w:tblStyle w:val="873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417"/>
        <w:gridCol w:w="6363"/>
      </w:tblGrid>
      <w:tr xmlns:wp14="http://schemas.microsoft.com/office/word/2010/wordml" w:rsidTr="5D8688A6" w14:paraId="691D7BB5" wp14:textId="77777777">
        <w:trPr/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7E84AF24" wp14:textId="77777777">
            <w:pPr>
              <w:pBdr/>
              <w:spacing w:before="0" w:after="0" w:line="240"/>
              <w:ind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4"/>
              </w:rPr>
              <w:t xml:space="preserve">Rating</w:t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3F394C9C" wp14:textId="77777777">
            <w:pPr>
              <w:pBdr/>
              <w:spacing w:before="0" w:after="0" w:line="240"/>
              <w:ind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4"/>
              </w:rPr>
              <w:t xml:space="preserve">Classification</w:t>
            </w:r>
            <w:r>
              <w:rPr>
                <w:rFonts w:ascii="Calibri" w:hAnsi="Calibri" w:eastAsia="Calibri" w:cs="Calibri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14:paraId="66CB7C91" wp14:textId="77777777">
            <w:pPr>
              <w:pBdr/>
              <w:spacing w:before="0" w:after="0" w:line="240"/>
              <w:ind/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color w:val="000000"/>
                <w:sz w:val="24"/>
              </w:rPr>
              <w:t xml:space="preserve">Security Requirement Highlights</w:t>
            </w:r>
            <w:r>
              <w:rPr>
                <w:rFonts w:ascii="Calibri" w:hAnsi="Calibri" w:eastAsia="Calibri" w:cs="Calibri"/>
              </w:rPr>
            </w:r>
          </w:p>
        </w:tc>
      </w:tr>
      <w:tr xmlns:wp14="http://schemas.microsoft.com/office/word/2010/wordml" w:rsidTr="5D8688A6" w14:paraId="4FF47A36" wp14:textId="77777777"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2298AAF9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2A7DCCB7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Critical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:rsidP="5D8688A6" w14:paraId="37460516" wp14:textId="77777777">
            <w:pPr>
              <w:spacing w:before="0" w:after="0" w:line="240" w:lineRule="auto"/>
              <w:ind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5D8688A6" w:rsidR="5D8688A6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Core Cloud (AWS, M365). Annual SOC 2/ISO report review required.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</w:tr>
      <w:tr xmlns:wp14="http://schemas.microsoft.com/office/word/2010/wordml" w:rsidTr="5D8688A6" w14:paraId="2D62D72B" wp14:textId="77777777"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65797CE2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51B19680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High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14:paraId="679F2AF2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Access to Code/Sensitive IP. Annual security certification check.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</w:tr>
      <w:tr xmlns:wp14="http://schemas.microsoft.com/office/word/2010/wordml" w:rsidTr="5D8688A6" w14:paraId="394BDC8E" wp14:textId="77777777"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390C36D8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083AD261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Medium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:rsidP="5D8688A6" w14:paraId="12AD2A81" wp14:textId="77777777">
            <w:pPr>
              <w:spacing w:before="0" w:after="0" w:line="240" w:lineRule="auto"/>
              <w:ind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5D8688A6" w:rsidR="5D8688A6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Access to internal data (e.g., Slack/Jira). Contractual NDA required.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</w:tr>
      <w:tr xmlns:wp14="http://schemas.microsoft.com/office/word/2010/wordml" w:rsidTr="5D8688A6" w14:paraId="69676814" wp14:textId="77777777"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4816F695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0B530D2B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Low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14:paraId="4830A842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Limited business data exposure. Standard business terms.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</w:tr>
      <w:tr xmlns:wp14="http://schemas.microsoft.com/office/word/2010/wordml" w:rsidTr="5D8688A6" w14:paraId="78F23D61" wp14:textId="77777777"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69" w:type="dxa"/>
            <w:vAlign w:val="center"/>
          </w:tcPr>
          <w:p w14:paraId="20CB684B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17" w:type="dxa"/>
            <w:vAlign w:val="center"/>
          </w:tcPr>
          <w:p w14:paraId="669AADE9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Minimal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center"/>
          </w:tcPr>
          <w:p w14:paraId="5794EFA9" wp14:textId="77777777">
            <w:pPr>
              <w:pBdr/>
              <w:spacing w:before="0" w:after="0" w:line="24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No data access (e.g., office cleaning). Standard terms.</w:t>
            </w:r>
            <w:r>
              <w:rPr>
                <w:rFonts w:ascii="Calibri" w:hAnsi="Calibri" w:eastAsia="Calibri" w:cs="Calibri"/>
                <w:sz w:val="22"/>
                <w:szCs w:val="22"/>
              </w:rPr>
            </w:r>
          </w:p>
        </w:tc>
      </w:tr>
    </w:tbl>
    <w:p w14:paraId="75B2006A" w14:textId="77777777">
      <w:pPr>
        <w:pBdr/>
        <w:spacing/>
        <w:ind w:left="360" w:firstLine="0"/>
        <w:rPr>
          <w:highlight w:val="none"/>
        </w:rPr>
      </w:pPr>
      <w:r>
        <w:br w:type="page" w:clear="all"/>
      </w:r>
      <w:r/>
    </w:p>
    <w:p w14:paraId="48C6E961" w14:textId="77777777">
      <w:pPr>
        <w:pStyle w:val="853"/>
        <w:numPr>
          <w:ilvl w:val="0"/>
          <w:numId w:val="5"/>
        </w:numPr>
        <w:pBdr/>
        <w:spacing/>
        <w:ind/>
        <w:rPr/>
      </w:pPr>
      <w:r/>
      <w:bookmarkStart w:name="_Toc217344044" w:id="25"/>
      <w:r/>
      <w:bookmarkStart w:name="_heading=h.zifsokthz7l5" w:id="13"/>
      <w:r/>
      <w:bookmarkEnd w:id="13"/>
      <w:r>
        <w:t xml:space="preserve">Due diligence and risk assessment </w:t>
      </w:r>
      <w:bookmarkEnd w:id="25"/>
      <w:r/>
      <w:r/>
    </w:p>
    <w:p xmlns:wp14="http://schemas.microsoft.com/office/word/2010/wordml" w:rsidP="5D8688A6" w14:paraId="6A890D24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</w:pPr>
      <w:r w:rsidRPr="5D8688A6" w:rsidR="5D8688A6">
        <w:rPr>
          <w:lang w:val="en-US"/>
        </w:rPr>
        <w:t xml:space="preserve">Before contracting with a supplier rated 3 or higher, the CISO shall initiate a risk assessment to understand the potential impact on enSights.</w:t>
      </w:r>
      <w:r/>
    </w:p>
    <w:p xmlns:wp14="http://schemas.microsoft.com/office/word/2010/wordml" w:rsidP="5D8688A6" w14:paraId="66640061" wp14:textId="77777777">
      <w:pPr>
        <w:pStyle w:val="875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Assessment Criteria: * Sensitivity of the information exposed to the third party.</w:t>
      </w:r>
      <w:r/>
    </w:p>
    <w:p xmlns:wp14="http://schemas.microsoft.com/office/word/2010/wordml" w14:paraId="27AA230F" wp14:textId="77777777">
      <w:pPr>
        <w:pStyle w:val="875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The supplier's existing security certifications (e.g., SOC 2 Type II, ISO 27001).</w:t>
      </w:r>
      <w:r/>
    </w:p>
    <w:p xmlns:wp14="http://schemas.microsoft.com/office/word/2010/wordml" w14:paraId="0817C5E1" wp14:textId="77777777">
      <w:pPr>
        <w:pStyle w:val="875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The technical capability of the supplier to support MFA and secure integrations (e.g., Entra ID/SSO).</w:t>
      </w:r>
      <w:r/>
    </w:p>
    <w:p xmlns:wp14="http://schemas.microsoft.com/office/word/2010/wordml" w14:paraId="44146926" wp14:textId="77777777">
      <w:pPr>
        <w:pStyle w:val="875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Dependency on the supplier for business continuity.</w:t>
      </w:r>
      <w:r/>
    </w:p>
    <w:p xmlns:wp14="http://schemas.microsoft.com/office/word/2010/wordml" w14:paraId="3C4316F4" wp14:textId="77777777">
      <w:pPr>
        <w:pBdr/>
        <w:spacing/>
        <w:ind/>
        <w:rPr/>
      </w:pPr>
      <w:r/>
      <w:r/>
      <w:r/>
    </w:p>
    <w:p w14:paraId="7A37D9C3" w14:textId="77777777">
      <w:pPr>
        <w:pStyle w:val="853"/>
        <w:numPr>
          <w:ilvl w:val="0"/>
          <w:numId w:val="5"/>
        </w:numPr>
        <w:pBdr/>
        <w:spacing/>
        <w:ind/>
        <w:rPr/>
      </w:pPr>
      <w:r/>
      <w:bookmarkStart w:name="_Toc217344045" w:id="26"/>
      <w:r/>
      <w:bookmarkStart w:name="_heading=h.pb910fmva4pt" w:id="14"/>
      <w:r/>
      <w:bookmarkEnd w:id="14"/>
      <w:r>
        <w:t xml:space="preserve">Addressing security within supplier agreements</w:t>
      </w:r>
      <w:bookmarkEnd w:id="26"/>
      <w:r/>
      <w:r/>
    </w:p>
    <w:p xmlns:wp14="http://schemas.microsoft.com/office/word/2010/wordml" w:rsidP="5D8688A6" w14:paraId="6B9FE511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</w:pPr>
      <w:r w:rsidRPr="5D8688A6" w:rsidR="5D8688A6">
        <w:rPr>
          <w:lang w:val="en-US"/>
        </w:rPr>
        <w:t xml:space="preserve">Information security requirements must be reflected within the written contractual agreement. The CTO, with assistance from the CISO, ensures that contracts for suppliers rated 4-5 include:</w:t>
      </w:r>
      <w:r/>
    </w:p>
    <w:p xmlns:wp14="http://schemas.microsoft.com/office/word/2010/wordml" w14:paraId="096F828B" wp14:textId="77777777">
      <w:pPr>
        <w:pStyle w:val="875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Right to Audit: Requirement for the supplier to provide annual security audit reports.</w:t>
      </w:r>
      <w:r/>
    </w:p>
    <w:p xmlns:wp14="http://schemas.microsoft.com/office/word/2010/wordml" w:rsidP="5D8688A6" w14:paraId="34C7ED55" wp14:textId="77777777">
      <w:pPr>
        <w:pStyle w:val="875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Data Rights: Prohibition on sharing or selling enSights data and clear clauses for data deletion at the end of the relationship.</w:t>
      </w:r>
      <w:r/>
    </w:p>
    <w:p xmlns:wp14="http://schemas.microsoft.com/office/word/2010/wordml" w14:paraId="25ABC00C" wp14:textId="77777777">
      <w:pPr>
        <w:pStyle w:val="875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Service Level Agreements (SLAs): Clear uptime and availability commitments.</w:t>
      </w:r>
      <w:r/>
    </w:p>
    <w:p xmlns:wp14="http://schemas.microsoft.com/office/word/2010/wordml" w14:paraId="1133F800" wp14:textId="77777777">
      <w:pPr>
        <w:pStyle w:val="875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Cloud Specifics: Clearly defined roles for backups, incident management, and vulnerability remediation within the "Shared Responsibility Model."</w:t>
      </w:r>
      <w:r/>
    </w:p>
    <w:p xmlns:wp14="http://schemas.microsoft.com/office/word/2010/wordml" w:rsidP="5D8688A6" w14:paraId="4CB947F0" wp14:textId="77777777">
      <w:pPr>
        <w:pStyle w:val="875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Non-Disclosure Agreements (NDAs): Mandatory signature by authorized representatives before any proprietary information is disclosed.</w:t>
      </w:r>
      <w:r/>
    </w:p>
    <w:p xmlns:wp14="http://schemas.microsoft.com/office/word/2010/wordml" w14:paraId="274BAFD6" wp14:textId="77777777">
      <w:pPr>
        <w:pBdr/>
        <w:spacing/>
        <w:ind/>
        <w:rPr/>
      </w:pPr>
      <w:r/>
      <w:r/>
      <w:r/>
    </w:p>
    <w:p w14:paraId="5B9B71FF" w14:textId="77777777">
      <w:pPr>
        <w:pStyle w:val="853"/>
        <w:numPr>
          <w:ilvl w:val="0"/>
          <w:numId w:val="5"/>
        </w:numPr>
        <w:pBdr/>
        <w:spacing/>
        <w:ind/>
        <w:rPr/>
      </w:pPr>
      <w:r/>
      <w:bookmarkStart w:name="_Toc217344046" w:id="27"/>
      <w:r/>
      <w:bookmarkStart w:name="_heading=h.8ift0phshgcm" w:id="15"/>
      <w:r/>
      <w:bookmarkEnd w:id="15"/>
      <w:r>
        <w:t xml:space="preserve">Non-Disclosure Agreements </w:t>
      </w:r>
      <w:bookmarkEnd w:id="27"/>
      <w:r/>
      <w:r/>
    </w:p>
    <w:p xmlns:wp14="http://schemas.microsoft.com/office/word/2010/wordml" w:rsidP="5D8688A6" w14:paraId="5FF2C004" wp14:textId="77777777">
      <w:pPr>
        <w:pStyle w:val="875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b w:val="1"/>
          <w:bCs w:val="1"/>
          <w:color w:val="000000"/>
          <w:sz w:val="22"/>
          <w:szCs w:val="22"/>
          <w:lang w:val="en-US"/>
        </w:rPr>
        <w:t xml:space="preserve">Annual Review: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The 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CISO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 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is responsible for an annual review of all suppliers rated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 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4 and 5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.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This includes collecting and analyzing their latest security audit reports.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:rsidP="5D8688A6" w14:paraId="062D14E7" wp14:textId="77777777">
      <w:pPr>
        <w:pStyle w:val="875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  <w:lang w:val="en-US"/>
        </w:rPr>
      </w:pPr>
      <w:r w:rsidRPr="5D8688A6" w:rsidR="5D8688A6">
        <w:rPr>
          <w:rFonts w:ascii="Calibri" w:hAnsi="Calibri" w:eastAsia="Calibri" w:cs="Calibri"/>
          <w:b w:val="1"/>
          <w:bCs w:val="1"/>
          <w:color w:val="000000"/>
          <w:sz w:val="22"/>
          <w:szCs w:val="22"/>
          <w:lang w:val="en-US"/>
        </w:rPr>
        <w:t xml:space="preserve">Operational Monitoring: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 The 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DevOps Lead</w:t>
      </w:r>
      <w:r w:rsidRPr="5D8688A6" w:rsidR="5D8688A6">
        <w:rPr>
          <w:rFonts w:ascii="Calibri" w:hAnsi="Calibri" w:eastAsia="Calibri" w:cs="Calibri"/>
          <w:b w:val="0"/>
          <w:bCs w:val="0"/>
          <w:color w:val="000000"/>
          <w:sz w:val="22"/>
          <w:szCs w:val="22"/>
          <w:lang w:val="en-US"/>
        </w:rPr>
        <w:t xml:space="preserve"> </w:t>
      </w:r>
      <w:r w:rsidRPr="5D8688A6" w:rsidR="5D8688A6"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monitors the service health of critical cloud infrastructure and reports utility-related incidents impacting availability.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67A35C97" wp14:textId="77777777">
      <w:pPr>
        <w:pStyle w:val="875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Access Review: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The </w:t>
      </w:r>
      <w:r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CISO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performs a quarterly review of all active third-party accounts (e.g., freelancers in Microsoft 365) to ensure access is still required and follows the principle of "Least Privilege."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5FDA631E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 xmlns:wp14="http://schemas.microsoft.com/office/word/2010/wordml" w14:paraId="315F590B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 xmlns:wp14="http://schemas.microsoft.com/office/word/2010/wordml" w14:paraId="5E84B873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 w14:paraId="03AF820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</w:p>
    <w:p w14:paraId="1DBD4892" w14:textId="77777777">
      <w:pPr>
        <w:pStyle w:val="853"/>
        <w:numPr>
          <w:ilvl w:val="0"/>
          <w:numId w:val="5"/>
        </w:numPr>
        <w:pBdr/>
        <w:spacing/>
        <w:ind/>
        <w:rPr/>
      </w:pPr>
      <w:r/>
      <w:bookmarkStart w:name="_Toc217344047" w:id="28"/>
      <w:r/>
      <w:bookmarkStart w:name="_heading=h.dc6s9amcp940" w:id="16"/>
      <w:r/>
      <w:bookmarkEnd w:id="16"/>
      <w:r>
        <w:t xml:space="preserve">Monitoring and review of supplier services</w:t>
      </w:r>
      <w:r/>
      <w:bookmarkEnd w:id="28"/>
      <w:r/>
      <w:r/>
    </w:p>
    <w:p xmlns:wp14="http://schemas.microsoft.com/office/word/2010/wordml" w14:paraId="691152B6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/>
      </w:pPr>
      <w:r>
        <w:t xml:space="preserve">The CISO is responsible for overseeing supplier security monitoring, with technical support from the </w:t>
      </w:r>
      <w:r>
        <w:rPr>
          <w:lang w:val="en-US"/>
        </w:rPr>
        <w:t xml:space="preserve">COO</w:t>
      </w:r>
      <w:r>
        <w:t xml:space="preserve"> and CTO. To ensure resources are focused on the areas of greatest risk, monitoring frequency is based on the supplier's risk rating:</w:t>
      </w:r>
      <w:r/>
    </w:p>
    <w:p xmlns:wp14="http://schemas.microsoft.com/office/word/2010/wordml" w:rsidP="5D8688A6" w14:paraId="09FFF905" wp14:textId="77777777">
      <w:pPr>
        <w:pStyle w:val="875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Critical &amp; High-Risk Suppliers (Ratings 4-5): Monitored annually. This review includes:</w:t>
      </w:r>
      <w:r/>
    </w:p>
    <w:p xmlns:wp14="http://schemas.microsoft.com/office/word/2010/wordml" w14:paraId="21CB756E" wp14:textId="77777777">
      <w:pPr>
        <w:pStyle w:val="875"/>
        <w:numPr>
          <w:ilvl w:val="1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Collection and analysis of the supplier's latest SOC 2 Type II or ISO 27001 audit reports.</w:t>
      </w:r>
      <w:r/>
    </w:p>
    <w:p xmlns:wp14="http://schemas.microsoft.com/office/word/2010/wordml" w:rsidP="5D8688A6" w14:paraId="4C1990BA" wp14:textId="77777777">
      <w:pPr>
        <w:pStyle w:val="875"/>
        <w:numPr>
          <w:ilvl w:val="1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Verification of "User Entity Controls" to ensure enSights is meeting its security obligations to the vendor.</w:t>
      </w:r>
      <w:r/>
    </w:p>
    <w:p xmlns:wp14="http://schemas.microsoft.com/office/word/2010/wordml" w14:paraId="4BF3406E" wp14:textId="77777777">
      <w:pPr>
        <w:pStyle w:val="875"/>
        <w:numPr>
          <w:ilvl w:val="1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Review of service performance against agreed-upon SLAs.</w:t>
      </w:r>
      <w:r/>
    </w:p>
    <w:p xmlns:wp14="http://schemas.microsoft.com/office/word/2010/wordml" w:rsidP="5D8688A6" w14:paraId="1B61BC39" wp14:textId="77777777">
      <w:pPr>
        <w:pStyle w:val="875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Standard &amp; Low-Risk Suppliers (Ratings 1-3): Monitored upon contractual renewal or if a significant change in the service scope occurs.</w:t>
      </w:r>
      <w:r/>
    </w:p>
    <w:p xmlns:wp14="http://schemas.microsoft.com/office/word/2010/wordml" w14:paraId="3A899DAA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</w:rPr>
      </w:pPr>
      <w:r/>
      <w:bookmarkStart w:name="_Toc217344048" w:id="29"/>
      <w:r>
        <w:rPr>
          <w:rFonts w:ascii="Calibri" w:hAnsi="Calibri" w:eastAsia="Calibri" w:cs="Calibri"/>
          <w:b/>
          <w:color w:val="000000"/>
          <w:sz w:val="24"/>
        </w:rPr>
        <w:t xml:space="preserve">6.1 Cross-Verification</w:t>
      </w:r>
      <w:bookmarkEnd w:id="29"/>
      <w:r/>
      <w:r>
        <w:rPr>
          <w:rFonts w:ascii="Calibri" w:hAnsi="Calibri" w:eastAsia="Calibri" w:cs="Calibri"/>
        </w:rPr>
      </w:r>
    </w:p>
    <w:p xmlns:wp14="http://schemas.microsoft.com/office/word/2010/wordml" w14:paraId="6A0E2D1C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Where possible, the </w:t>
      </w:r>
      <w:r>
        <w:rPr>
          <w:rFonts w:ascii="Calibri" w:hAnsi="Calibri" w:eastAsia="Calibri" w:cs="Calibri"/>
          <w:color w:val="000000"/>
          <w:sz w:val="22"/>
          <w:szCs w:val="22"/>
          <w:lang w:val="en-US"/>
        </w:rPr>
        <w:t xml:space="preserve">CISO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shall cross-check supplier-provided status reports against internal monitoring tools (e.g., CloudWatch or automated uptime monitors) to ensure a consistent picture of performance. Any discrepancies or identified security gaps will be reviewed by the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CTO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, and corrective actions will be agreed upon with the supplier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622C7B43" wp14:textId="77777777">
      <w:pPr>
        <w:pBdr/>
        <w:spacing/>
        <w:ind/>
        <w:rPr/>
      </w:pPr>
      <w:r/>
      <w:r/>
    </w:p>
    <w:p w14:paraId="6F343D81" w14:textId="77777777">
      <w:pPr>
        <w:pStyle w:val="853"/>
        <w:numPr>
          <w:ilvl w:val="0"/>
          <w:numId w:val="5"/>
        </w:numPr>
        <w:pBdr/>
        <w:spacing/>
        <w:ind/>
        <w:rPr/>
      </w:pPr>
      <w:r/>
      <w:bookmarkStart w:name="_Toc217344049" w:id="30"/>
      <w:r/>
      <w:bookmarkStart w:name="_heading=h.68umqekvsujr" w:id="17"/>
      <w:r/>
      <w:bookmarkEnd w:id="17"/>
      <w:r>
        <w:t xml:space="preserve">Managing changes to supplier services</w:t>
      </w:r>
      <w:bookmarkEnd w:id="30"/>
      <w:r/>
      <w:r/>
    </w:p>
    <w:p w14:paraId="42286F15" w14:textId="77777777">
      <w:pPr>
        <w:pStyle w:val="854"/>
        <w:numPr>
          <w:ilvl w:val="1"/>
          <w:numId w:val="5"/>
        </w:numPr>
        <w:pBdr/>
        <w:spacing/>
        <w:ind/>
        <w:rPr/>
      </w:pPr>
      <w:r/>
      <w:bookmarkStart w:name="_Toc217344050" w:id="31"/>
      <w:r/>
      <w:bookmarkStart w:name="_heading=h.155h2dr0c52" w:id="18"/>
      <w:r/>
      <w:bookmarkEnd w:id="18"/>
      <w:r>
        <w:t xml:space="preserve">Changes within </w:t>
      </w:r>
      <w:r>
        <w:t xml:space="preserve">contract</w:t>
      </w:r>
      <w:bookmarkEnd w:id="31"/>
      <w:r/>
      <w:r/>
    </w:p>
    <w:p xmlns:wp14="http://schemas.microsoft.com/office/word/2010/wordml" w:rsidP="5D8688A6" w14:paraId="63AD59C8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</w:pPr>
      <w:r w:rsidRPr="5D8688A6" w:rsidR="5D8688A6">
        <w:rPr>
          <w:lang w:val="en-US"/>
        </w:rPr>
        <w:t xml:space="preserve">Changes to services provided by suppliers (e.g., new API integrations, moving to a different cloud region, or changing data access levels) are subject to the enSights Change Management process.</w:t>
      </w:r>
      <w:r/>
    </w:p>
    <w:p xmlns:wp14="http://schemas.microsoft.com/office/word/2010/wordml" w14:paraId="179A2B33" wp14:textId="77777777">
      <w:pPr>
        <w:pStyle w:val="875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The CTO must assess the information security implications of the change before it is implemented.</w:t>
      </w:r>
      <w:r/>
    </w:p>
    <w:p xmlns:wp14="http://schemas.microsoft.com/office/word/2010/wordml" w14:paraId="417EE549" wp14:textId="77777777">
      <w:pPr>
        <w:pStyle w:val="875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The CISO must update the Supplier Risk Assessment if the change affects the sensitivity of the data being processed.</w:t>
      </w:r>
      <w:r/>
    </w:p>
    <w:p xmlns:wp14="http://schemas.microsoft.com/office/word/2010/wordml" w14:paraId="6D8BD77A" wp14:textId="77777777">
      <w:pPr>
        <w:pBdr/>
        <w:spacing/>
        <w:ind/>
        <w:rPr/>
      </w:pPr>
      <w:r/>
      <w:r/>
      <w:r/>
    </w:p>
    <w:p w14:paraId="69613AF5" w14:textId="77777777">
      <w:pPr>
        <w:pStyle w:val="854"/>
        <w:numPr>
          <w:ilvl w:val="1"/>
          <w:numId w:val="5"/>
        </w:numPr>
        <w:pBdr/>
        <w:spacing/>
        <w:ind/>
        <w:rPr/>
      </w:pPr>
      <w:r/>
      <w:bookmarkStart w:name="_Toc217344051" w:id="32"/>
      <w:r/>
      <w:bookmarkStart w:name="_heading=h.uukrf9xm0sy5" w:id="19"/>
      <w:r/>
      <w:bookmarkEnd w:id="19"/>
      <w:r>
        <w:t xml:space="preserve">Contractual Disputes</w:t>
      </w:r>
      <w:bookmarkEnd w:id="32"/>
      <w:r/>
      <w:r/>
    </w:p>
    <w:p xmlns:wp14="http://schemas.microsoft.com/office/word/2010/wordml" w:rsidP="5D8688A6" w14:paraId="6767A400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</w:pPr>
      <w:r w:rsidRPr="5D8688A6" w:rsidR="5D8688A6">
        <w:rPr>
          <w:lang w:val="en-US"/>
        </w:rPr>
        <w:t xml:space="preserve">n the event of a contractual dispute regarding security or service levels:</w:t>
      </w:r>
      <w:r/>
    </w:p>
    <w:p xmlns:wp14="http://schemas.microsoft.com/office/word/2010/wordml" w:rsidP="5D8688A6" w14:paraId="10627EA2" wp14:textId="77777777">
      <w:pPr>
        <w:pStyle w:val="875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The CFO and CTO must be notified immediately.</w:t>
      </w:r>
      <w:r/>
    </w:p>
    <w:p xmlns:wp14="http://schemas.microsoft.com/office/word/2010/wordml" w:rsidP="5D8688A6" w14:paraId="6C013A25" wp14:textId="77777777">
      <w:pPr>
        <w:pStyle w:val="875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The CFO determines the next steps, including the procurement of legal advice if necessary.</w:t>
      </w:r>
      <w:r/>
    </w:p>
    <w:p xmlns:wp14="http://schemas.microsoft.com/office/word/2010/wordml" w:rsidP="5D8688A6" w14:paraId="2A7EF251" wp14:textId="77777777">
      <w:pPr>
        <w:pStyle w:val="875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lang w:val="en-US"/>
        </w:rPr>
        <w:t xml:space="preserve">The CISO must perform a risk assessment to determine if the dispute impacts the security or availability of enSights data.</w:t>
      </w:r>
      <w:r/>
    </w:p>
    <w:p xmlns:wp14="http://schemas.microsoft.com/office/word/2010/wordml" w14:paraId="0CE81795" wp14:textId="77777777">
      <w:pPr>
        <w:pStyle w:val="875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t xml:space="preserve">All formal correspondence must be in writing and approved by the CFO.</w:t>
      </w:r>
      <w:r/>
    </w:p>
    <w:p xmlns:wp14="http://schemas.microsoft.com/office/word/2010/wordml" w14:paraId="262C132A" wp14:textId="77777777">
      <w:pPr>
        <w:pBdr/>
        <w:spacing/>
        <w:ind/>
        <w:rPr/>
      </w:pPr>
      <w:r/>
      <w:r/>
      <w:r/>
    </w:p>
    <w:p w14:paraId="73BF660E" w14:textId="77777777">
      <w:pPr>
        <w:pStyle w:val="854"/>
        <w:numPr>
          <w:ilvl w:val="1"/>
          <w:numId w:val="5"/>
        </w:numPr>
        <w:pBdr/>
        <w:spacing/>
        <w:ind/>
        <w:rPr/>
      </w:pPr>
      <w:r/>
      <w:bookmarkStart w:name="_Toc217344052" w:id="33"/>
      <w:r/>
      <w:bookmarkStart w:name="_heading=h.5st4pfv9n0n9" w:id="20"/>
      <w:r/>
      <w:bookmarkEnd w:id="20"/>
      <w:r>
        <w:t xml:space="preserve">End of contract</w:t>
      </w:r>
      <w:bookmarkEnd w:id="33"/>
      <w:r/>
      <w:r/>
    </w:p>
    <w:p xmlns:wp14="http://schemas.microsoft.com/office/word/2010/wordml" w14:paraId="7FC04DB2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/>
      </w:pPr>
      <w:r>
        <w:t xml:space="preserve">To ensure a secure transition or termination of services:</w:t>
      </w:r>
      <w:r/>
    </w:p>
    <w:p xmlns:wp14="http://schemas.microsoft.com/office/word/2010/wordml" w14:paraId="177E4EC8" wp14:textId="77777777">
      <w:pPr>
        <w:pStyle w:val="875"/>
        <w:numPr>
          <w:ilvl w:val="0"/>
          <w:numId w:val="1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b/>
          <w:bCs/>
        </w:rPr>
        <w:t xml:space="preserve">Notice</w:t>
      </w:r>
      <w:r>
        <w:t xml:space="preserve">: Termination must be requested in writing according to the agreed contract terms.</w:t>
      </w:r>
      <w:r/>
    </w:p>
    <w:p xmlns:wp14="http://schemas.microsoft.com/office/word/2010/wordml" w14:paraId="17144243" wp14:textId="77777777">
      <w:pPr>
        <w:pStyle w:val="875"/>
        <w:numPr>
          <w:ilvl w:val="0"/>
          <w:numId w:val="1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b/>
          <w:bCs/>
        </w:rPr>
        <w:t xml:space="preserve">Transition Planning</w:t>
      </w:r>
      <w:r>
        <w:t xml:space="preserve">: If a service is being transferred to a new party, it must be managed as a formal project under the supervision of the CTO.</w:t>
      </w:r>
      <w:r/>
    </w:p>
    <w:p xmlns:wp14="http://schemas.microsoft.com/office/word/2010/wordml" w14:paraId="1D537557" wp14:textId="77777777">
      <w:pPr>
        <w:pStyle w:val="875"/>
        <w:numPr>
          <w:ilvl w:val="0"/>
          <w:numId w:val="1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b/>
          <w:bCs/>
        </w:rPr>
        <w:t xml:space="preserve">Access Revocation</w:t>
      </w:r>
      <w:r>
        <w:t xml:space="preserve">: The </w:t>
      </w:r>
      <w:r>
        <w:rPr>
          <w:lang w:val="en-US"/>
        </w:rPr>
        <w:t xml:space="preserve">CTO</w:t>
      </w:r>
      <w:r>
        <w:t xml:space="preserve"> must revoke all logical access (SSO, AWS IAM, M365) within 24 hours of the contract end date.</w:t>
      </w:r>
      <w:r/>
    </w:p>
    <w:p xmlns:wp14="http://schemas.microsoft.com/office/word/2010/wordml" w:rsidP="5D8688A6" w14:paraId="124CAB30" wp14:textId="77777777">
      <w:pPr>
        <w:pStyle w:val="875"/>
        <w:numPr>
          <w:ilvl w:val="0"/>
          <w:numId w:val="1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b w:val="1"/>
          <w:bCs w:val="1"/>
          <w:lang w:val="en-US"/>
        </w:rPr>
        <w:t xml:space="preserve">Data Deletion:</w:t>
      </w:r>
      <w:r w:rsidRPr="5D8688A6" w:rsidR="5D8688A6">
        <w:rPr>
          <w:lang w:val="en-US"/>
        </w:rPr>
        <w:t xml:space="preserve"> Per the Disposal and Destruction Policy, the CISO must obtain formal verification that all enSights data has been purged from the supplier’s environment.</w:t>
      </w:r>
      <w:r/>
    </w:p>
    <w:p w14:paraId="6910921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/>
      </w:pPr>
      <w:r/>
      <w:r/>
    </w:p>
    <w:p xmlns:wp14="http://schemas.microsoft.com/office/word/2010/wordml" w14:paraId="271EA55F" wp14:textId="77777777">
      <w:pPr>
        <w:pStyle w:val="853"/>
        <w:pBdr/>
        <w:spacing/>
        <w:ind w:left="502"/>
        <w:rPr/>
      </w:pPr>
      <w:r/>
      <w:bookmarkStart w:name="_Toc217344053" w:id="34"/>
      <w:r>
        <w:rPr>
          <w:lang w:val="en-US"/>
        </w:rPr>
        <w:t xml:space="preserve">8 </w:t>
      </w:r>
      <w:bookmarkStart w:name="_Toc217344040" w:id="11"/>
      <w:r>
        <w:t xml:space="preserve">Validity and document management</w:t>
      </w:r>
      <w:bookmarkEnd w:id="11"/>
      <w:r/>
      <w:bookmarkEnd w:id="34"/>
      <w:r/>
      <w:r/>
    </w:p>
    <w:p xmlns:wp14="http://schemas.microsoft.com/office/word/2010/wordml" w14:paraId="2FF3D1E4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/>
      <w:bookmarkStart w:name="_Toc217344054" w:id="35"/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8.1 Policy Effective Date</w:t>
      </w:r>
      <w:bookmarkEnd w:id="35"/>
      <w:r/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482F40A6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This document is valid as of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3/2/2026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7915413D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/>
      <w:bookmarkStart w:name="_Toc217344055" w:id="36"/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8.2 Ownership and Review</w:t>
      </w:r>
      <w:bookmarkEnd w:id="36"/>
      <w:r/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3EFF091F" wp14:textId="77777777">
      <w:pPr>
        <w:pStyle w:val="875"/>
        <w:numPr>
          <w:ilvl w:val="0"/>
          <w:numId w:val="2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Owner: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The 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CISO</w:t>
      </w:r>
      <w:r>
        <w:rPr>
          <w:rFonts w:ascii="Calibri" w:hAnsi="Calibri" w:eastAsia="Calibri" w:cs="Calibri"/>
          <w:b w:val="0"/>
          <w:bCs w:val="0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is the formal owner of this document.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478FE406" wp14:textId="77777777">
      <w:pPr>
        <w:pStyle w:val="875"/>
        <w:numPr>
          <w:ilvl w:val="0"/>
          <w:numId w:val="2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Review Cycle: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The CISO must review and, if necessary, update the document at least once a year to reflect changes in the technical environment (AWS/M365) or regulatory requirements.</w:t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051F4A71" wp14:textId="77777777">
      <w:pPr>
        <w:pStyle w:val="856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/>
      <w:bookmarkStart w:name="_Toc217344056" w:id="37"/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8.3 Effectiveness Criteria</w:t>
      </w:r>
      <w:bookmarkEnd w:id="37"/>
      <w:r/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:rsidP="5D8688A6" w14:paraId="2DC45875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</w:pPr>
      <w:r w:rsidRPr="5D8688A6" w:rsidR="5D8688A6">
        <w:rPr>
          <w:lang w:val="en-US"/>
        </w:rPr>
        <w:t xml:space="preserve">To ensure this policy is providing real protection for enSights, the following metrics will be reviewed during the annual Internal Audit and Management Review:</w:t>
      </w:r>
      <w:r/>
    </w:p>
    <w:p xmlns:wp14="http://schemas.microsoft.com/office/word/2010/wordml" w14:paraId="1AA96993" wp14:textId="77777777">
      <w:pPr>
        <w:pStyle w:val="875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b/>
          <w:bCs/>
        </w:rPr>
        <w:t xml:space="preserve">Unvetted Critical Suppliers:</w:t>
      </w:r>
      <w:r>
        <w:t xml:space="preserve"> Number of suppliers rated 4 or 5 currently in use without a verified security assessment or current audit report (SOC 2/ISO) on file.</w:t>
      </w:r>
      <w:r/>
    </w:p>
    <w:p xmlns:wp14="http://schemas.microsoft.com/office/word/2010/wordml" w:rsidP="5D8688A6" w14:paraId="63ABCF5A" wp14:textId="77777777">
      <w:pPr>
        <w:pStyle w:val="875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b w:val="1"/>
          <w:bCs w:val="1"/>
          <w:lang w:val="en-US"/>
        </w:rPr>
        <w:t xml:space="preserve">On-Time Annual Reviews:</w:t>
      </w:r>
      <w:r w:rsidRPr="5D8688A6" w:rsidR="5D8688A6">
        <w:rPr>
          <w:lang w:val="en-US"/>
        </w:rPr>
        <w:t xml:space="preserve"> Percentage of Critical and High-Risk suppliers that underwent their annual security review within the scheduled timeframe.</w:t>
      </w:r>
      <w:r/>
    </w:p>
    <w:p xmlns:wp14="http://schemas.microsoft.com/office/word/2010/wordml" w14:paraId="169A9242" wp14:textId="77777777">
      <w:pPr>
        <w:pStyle w:val="875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b/>
          <w:bCs/>
        </w:rPr>
        <w:t xml:space="preserve">Offboarding Compliance</w:t>
      </w:r>
      <w:r>
        <w:t xml:space="preserve">: Number of terminated suppliers or freelancers where logical access (AWS/M365) was not revoked within the 24-hour SLA.</w:t>
      </w:r>
      <w:r/>
    </w:p>
    <w:p xmlns:wp14="http://schemas.microsoft.com/office/word/2010/wordml" w:rsidP="5D8688A6" w14:paraId="1706DBC4" wp14:textId="77777777">
      <w:pPr>
        <w:pStyle w:val="875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 w:rsidRPr="5D8688A6" w:rsidR="5D8688A6">
        <w:rPr>
          <w:b w:val="1"/>
          <w:bCs w:val="1"/>
          <w:lang w:val="en-US"/>
        </w:rPr>
        <w:t xml:space="preserve">Contractual Security Gaps</w:t>
      </w:r>
      <w:r w:rsidRPr="5D8688A6" w:rsidR="5D8688A6">
        <w:rPr>
          <w:lang w:val="en-US"/>
        </w:rPr>
        <w:t xml:space="preserve">: Number of active supplier contracts (Rating 3+) that do not contain standard security, breach notification, or data deletion clauses.</w:t>
      </w:r>
      <w:r/>
    </w:p>
    <w:p xmlns:wp14="http://schemas.microsoft.com/office/word/2010/wordml" w14:paraId="7EA3CED5" wp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left="0" w:righ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 xmlns:wp14="http://schemas.microsoft.com/office/word/2010/wordml" w14:paraId="6843F444" wp14:textId="77777777">
      <w:pPr>
        <w:pBdr/>
        <w:spacing w:after="0"/>
        <w:ind w:left="720" w:firstLine="0"/>
        <w:rPr/>
      </w:pPr>
      <w:r/>
      <w:r/>
    </w:p>
    <w:p w14:paraId="1FF14FD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sectPr>
      <w:headerReference w:type="default" r:id="rId11"/>
      <w:footerReference w:type="default" r:id="rId14"/>
      <w:footnotePr/>
      <w:endnotePr/>
      <w:type w:val="nextPage"/>
      <w:pgSz w:w="12240" w:h="15840" w:orient="portrait"/>
      <w:pgMar w:top="1440" w:right="1440" w:bottom="1440" w:left="1440" w:header="720" w:footer="720" w:gutter="0"/>
      <w:pgNumType w:start="1"/>
      <w:cols w:equalWidth="1" w:space="720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0EEEAB4" w14:textId="77777777"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 w14:paraId="1ED67F13" w14:textId="77777777"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E32BAC" w14:textId="77777777"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rPr>
        <w:lang w:val="en-US"/>
      </w:rPr>
    </w:pPr>
    <w:r>
      <w:rPr>
        <w:lang w:val="en-US"/>
      </w:rPr>
    </w:r>
    <w:r>
      <w:rPr>
        <w:lang w:val="en-US"/>
      </w:rPr>
    </w:r>
  </w:p>
  <w:p w14:paraId="02B19F09" w14:textId="77777777"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FD0E4B4" w14:textId="77777777">
    <w:pPr>
      <w:pBdr/>
      <w:spacing/>
      <w:ind/>
      <w:rPr/>
    </w:pPr>
    <w:r/>
    <w:r/>
  </w:p>
  <w:p w14:paraId="1BE2A98E" w14:textId="77777777">
    <w:pPr>
      <w:pBdr/>
      <w:spacing/>
      <w:ind/>
      <w:rPr/>
    </w:pPr>
    <w:r/>
    <w:r/>
  </w:p>
  <w:p w14:paraId="618F7018" w14:textId="77777777"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072" w:type="dxa"/>
      <w:tblBorders>
        <w:top w:val="single" w:color="000000" w:sz="4" w:space="0"/>
        <w:insideH w:val="single" w:color="000000" w:sz="4" w:space="0"/>
      </w:tblBorders>
      <w:tblLayout w:type="fixed"/>
      <w:tblLook w:val="0400" w:firstRow="0" w:lastRow="0" w:firstColumn="0" w:lastColumn="0" w:noHBand="0" w:noVBand="1"/>
    </w:tblPr>
    <w:tblGrid>
      <w:gridCol w:w="3119"/>
      <w:gridCol w:w="4536"/>
      <w:gridCol w:w="1417"/>
    </w:tblGrid>
    <w:tr xmlns:wp14="http://schemas.microsoft.com/office/word/2010/wordml" w14:paraId="0314F82D" wp14:textId="77777777">
      <w:trPr/>
      <w:tc>
        <w:tcPr>
          <w:tcBorders/>
          <w:tcW w:w="3119" w:type="dxa"/>
        </w:tcPr>
        <w:p w14:paraId="40B8F98F" w14:textId="710C16B7"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tabs>
              <w:tab w:val="center" w:leader="none" w:pos="4536"/>
              <w:tab w:val="right" w:leader="none" w:pos="9072"/>
            </w:tabs>
            <w:spacing/>
            <w:ind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Supplier Relationships Policy</w:t>
          </w:r>
          <w:r>
            <w:rPr>
              <w:color w:val="000000"/>
              <w:sz w:val="18"/>
              <w:szCs w:val="18"/>
            </w:rPr>
          </w:r>
        </w:p>
      </w:tc>
      <w:tc>
        <w:tcPr>
          <w:tcBorders/>
          <w:tcW w:w="4536" w:type="dxa"/>
        </w:tcPr>
        <w:p w14:paraId="134AA856" w14:textId="77777777"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tabs>
              <w:tab w:val="center" w:leader="none" w:pos="4536"/>
              <w:tab w:val="right" w:leader="none" w:pos="9072"/>
            </w:tabs>
            <w:spacing/>
            <w:ind/>
            <w:rPr>
              <w:color w:val="000000"/>
              <w:sz w:val="18"/>
              <w:szCs w:val="18"/>
              <w:lang w:val="en-US"/>
            </w:rPr>
          </w:pPr>
          <w:r>
            <w:rPr>
              <w:color w:val="000000" w:themeColor="text1"/>
              <w:sz w:val="18"/>
              <w:szCs w:val="18"/>
              <w:lang w:val="en-US"/>
            </w:rPr>
          </w:r>
          <w:r>
            <w:rPr>
              <w:color w:val="000000"/>
              <w:sz w:val="18"/>
              <w:szCs w:val="18"/>
              <w:lang w:val="en-US"/>
            </w:rPr>
          </w:r>
        </w:p>
      </w:tc>
      <w:tc>
        <w:tcPr>
          <w:tcBorders/>
          <w:tcW w:w="1417" w:type="dxa"/>
        </w:tcPr>
        <w:p w14:paraId="3228A65D" w14:textId="77777777"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  <w:tabs>
              <w:tab w:val="center" w:leader="none" w:pos="4536"/>
              <w:tab w:val="right" w:leader="none" w:pos="9072"/>
            </w:tabs>
            <w:spacing/>
            <w:ind/>
            <w:jc w:val="right"/>
            <w:rPr>
              <w:b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Page </w:t>
          </w: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 xml:space="preserve">PAGE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>
            <w:rPr>
              <w:b/>
              <w:color w:val="000000"/>
              <w:sz w:val="18"/>
              <w:szCs w:val="18"/>
            </w:rPr>
            <w:t xml:space="preserve">2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of </w:t>
          </w: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 xml:space="preserve">NUMPAGES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>
            <w:rPr>
              <w:b/>
              <w:color w:val="000000"/>
              <w:sz w:val="18"/>
              <w:szCs w:val="18"/>
            </w:rPr>
            <w:t xml:space="preserve">3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  <w:r>
            <w:rPr>
              <w:b/>
              <w:color w:val="000000"/>
              <w:sz w:val="18"/>
              <w:szCs w:val="18"/>
            </w:rPr>
          </w:r>
        </w:p>
      </w:tc>
    </w:tr>
  </w:tbl>
  <w:p w14:paraId="0A7C34E1" w14:textId="26F5DA00">
    <w:pPr>
      <w:pStyle w:val="871"/>
      <w:pBdr/>
      <w:spacing/>
      <w:ind w:left="0" w:firstLine="0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ED7FAB4" w14:textId="77777777"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 w14:paraId="77F2817A" w14:textId="77777777">
      <w:pPr>
        <w:pBdr/>
        <w:spacing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xmlns:pic="http://schemas.openxmlformats.org/drawingml/2006/picture" mc:Ignorable="w14 w15 wp14">
  <w:p w14:paraId="7F1E0F08" w14:textId="77777777">
    <w:pPr>
      <w:pBdr/>
      <w:bidi w:val="true"/>
      <w:spacing/>
      <w:ind w:left="0" w:firstLine="0"/>
      <w:rPr>
        <w:rFonts w:ascii="Arial" w:hAnsi="Arial" w:eastAsia="Arial" w:cs="Arial"/>
        <w:color w:val="666666"/>
        <w:sz w:val="20"/>
        <w:szCs w:val="20"/>
        <w:rtl/>
      </w:rPr>
    </w:pPr>
    <w:r>
      <w:rPr>
        <w:rFonts w:ascii="Arial" w:hAnsi="Arial" w:eastAsia="Arial" w:cs="Arial"/>
        <w:color w:val="666666"/>
        <w:sz w:val="20"/>
        <w:szCs w:val="20"/>
      </w:rPr>
      <w:t xml:space="preserve">     </w:t>
    </w:r>
    <w:r>
      <w:rPr>
        <w:rFonts w:ascii="Arial" w:hAnsi="Arial" w:eastAsia="Arial" w:cs="Arial"/>
        <w:color w:val="666666"/>
        <w:sz w:val="20"/>
        <w:szCs w:val="20"/>
      </w:rPr>
      <w:tab/>
    </w:r>
    <w:r>
      <w:rPr>
        <w:rFonts w:hint="cs" w:ascii="Arial" w:hAnsi="Arial" w:eastAsia="Arial" w:cs="Arial"/>
        <w:color w:val="666666"/>
        <w:sz w:val="20"/>
        <w:szCs w:val="20"/>
        <w:rtl/>
      </w:rPr>
    </w:r>
  </w:p>
  <w:tbl>
    <w:tblPr>
      <w:tblInd w:w="-115" w:type="dxa"/>
      <w:tblW w:w="9613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Look w:val="0000" w:firstRow="0" w:lastRow="0" w:firstColumn="0" w:lastColumn="0" w:noHBand="0" w:noVBand="0"/>
    </w:tblPr>
    <w:tblGrid>
      <w:gridCol w:w="1908"/>
      <w:gridCol w:w="2072"/>
      <w:gridCol w:w="2271"/>
      <w:gridCol w:w="3362"/>
    </w:tblGrid>
    <w:tr xmlns:wp14="http://schemas.microsoft.com/office/word/2010/wordml" w14:paraId="577DDDFE" wp14:textId="77777777">
      <w:trPr/>
      <w:tc>
        <w:tcPr>
          <w:gridSpan w:val="2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left w:w="108" w:type="dxa"/>
            <w:top w:w="85" w:type="dxa"/>
            <w:right w:w="108" w:type="dxa"/>
            <w:bottom w:w="85" w:type="dxa"/>
          </w:tcMar>
          <w:tcW w:w="3980" w:type="dxa"/>
          <w:vAlign w:val="center"/>
        </w:tcPr>
        <w:p w14:paraId="78DC977B" wp14:textId="77777777">
          <w:pPr>
            <w:pBdr/>
            <w:spacing/>
            <w:ind/>
            <w:jc w:val="center"/>
            <w:rPr/>
          </w:pPr>
          <w:r/>
          <w:r>
            <mc:AlternateContent>
              <mc:Choice Requires="wpg">
                <w:drawing>
                  <wp:inline xmlns:wp="http://schemas.openxmlformats.org/drawingml/2006/wordprocessingDrawing" xmlns:wp14="http://schemas.microsoft.com/office/word/2010/wordprocessingDrawing" distT="0" distB="0" distL="0" distR="0" wp14:anchorId="539E2381" wp14:editId="7777777">
                    <wp:extent cx="1533525" cy="361950"/>
                    <wp:effectExtent l="0" t="0" r="0" b="0"/>
                    <wp:docPr id="1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770001118" name="image1.png"/>
                            <pic:cNvPicPr/>
                            <pic:nvPr/>
                          </pic:nvPicPr>
                          <pic:blipFill rotWithShape="1">
                            <a:blip r:embed="rId1"/>
                            <a:srcRect l="0" t="0" r="0" b="0"/>
                            <a:stretch/>
                          </pic:blipFill>
                          <pic:spPr bwMode="auto">
                            <a:xfrm rot="0" flipH="0" flipV="0">
                              <a:off x="0" y="0"/>
                              <a:ext cx="1533524" cy="361949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 w14:anchorId="5C60852A"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_x0000_i0" style="width:120.75pt;height:28.50pt;mso-wrap-distance-left:0.00pt;mso-wrap-distance-top:0.00pt;mso-wrap-distance-right:0.00pt;mso-wrap-distance-bottom:0.00pt;rotation:0;z-index:1;" o:spid="_x0000_s0" type="#_x0000_t75">
                    <v:imagedata cropleft="0f" croptop="0f" cropright="0f" cropbottom="0f" o:title="" r:id="rId1"/>
                    <o:lock v:ext="edit" rotation="t"/>
                  </v:shape>
                </w:pict>
              </mc:Fallback>
            </mc:AlternateContent>
          </w:r>
          <w:r/>
          <w:r/>
        </w:p>
      </w:tc>
      <w:tc>
        <w:tcPr>
          <w:gridSpan w:val="2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left w:w="108" w:type="dxa"/>
            <w:top w:w="85" w:type="dxa"/>
            <w:right w:w="108" w:type="dxa"/>
            <w:bottom w:w="85" w:type="dxa"/>
          </w:tcMar>
          <w:tcW w:w="5633" w:type="dxa"/>
          <w:vAlign w:val="center"/>
        </w:tcPr>
        <w:p w14:paraId="12FD2563" wp14:textId="77777777">
          <w:pPr>
            <w:pBdr/>
            <w:spacing/>
            <w:ind/>
            <w:jc w:val="center"/>
            <w:rPr>
              <w:rFonts w:eastAsia="Times New Roman" w:asciiTheme="majorHAnsi" w:hAnsiTheme="majorHAnsi" w:cstheme="majorBidi"/>
              <w:b/>
              <w:bCs/>
              <w:sz w:val="40"/>
              <w:szCs w:val="40"/>
            </w:rPr>
          </w:pPr>
          <w:r>
            <w:rPr>
              <w:rFonts w:eastAsia="Times New Roman" w:asciiTheme="majorHAnsi" w:hAnsiTheme="majorHAnsi" w:cstheme="majorBidi"/>
              <w:b/>
              <w:bCs/>
              <w:sz w:val="40"/>
              <w:szCs w:val="40"/>
            </w:rPr>
          </w:r>
          <w:r>
            <w:rPr>
              <w:rFonts w:eastAsia="Times New Roman" w:asciiTheme="majorHAnsi" w:hAnsiTheme="majorHAnsi" w:cstheme="majorBidi"/>
              <w:b/>
              <w:bCs/>
              <w:sz w:val="40"/>
              <w:szCs w:val="40"/>
            </w:rPr>
            <w:t xml:space="preserve">Supplier Relationships Policy</w:t>
          </w:r>
          <w:r>
            <w:rPr>
              <w:rFonts w:eastAsia="Times New Roman" w:asciiTheme="majorHAnsi" w:hAnsiTheme="majorHAnsi" w:cstheme="majorBidi"/>
              <w:b/>
              <w:bCs/>
              <w:sz w:val="40"/>
              <w:szCs w:val="40"/>
            </w:rPr>
          </w:r>
          <w:r>
            <w:rPr>
              <w:rFonts w:eastAsia="Times New Roman" w:asciiTheme="majorHAnsi" w:hAnsiTheme="majorHAnsi" w:cstheme="majorBidi"/>
              <w:b/>
              <w:bCs/>
              <w:sz w:val="40"/>
              <w:szCs w:val="40"/>
            </w:rPr>
          </w:r>
        </w:p>
      </w:tc>
    </w:tr>
    <w:tr xmlns:wp14="http://schemas.microsoft.com/office/word/2010/wordml" w14:paraId="06E7C2DD" wp14:textId="77777777">
      <w:trPr/>
      <w:tc>
        <w:tcPr>
          <w:tcBorders/>
          <w:tcMar>
            <w:left w:w="108" w:type="dxa"/>
            <w:top w:w="85" w:type="dxa"/>
            <w:right w:w="108" w:type="dxa"/>
            <w:bottom w:w="85" w:type="dxa"/>
          </w:tcMar>
          <w:tcW w:w="1908" w:type="dxa"/>
          <w:vAlign w:val="center"/>
        </w:tcPr>
        <w:p w14:paraId="0377BB51" wp14:textId="77777777">
          <w:pPr>
            <w:pBdr/>
            <w:spacing/>
            <w:ind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No: 02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</w:tc>
      <w:tc>
        <w:tcPr>
          <w:tcBorders/>
          <w:tcMar>
            <w:left w:w="108" w:type="dxa"/>
            <w:top w:w="85" w:type="dxa"/>
            <w:right w:w="108" w:type="dxa"/>
            <w:bottom w:w="85" w:type="dxa"/>
          </w:tcMar>
          <w:tcW w:w="2072" w:type="dxa"/>
          <w:vAlign w:val="center"/>
        </w:tcPr>
        <w:p w14:paraId="5BC430F4" wp14:textId="77777777">
          <w:pPr>
            <w:pBdr/>
            <w:spacing/>
            <w:ind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Rev: 1.0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</w:tc>
      <w:tc>
        <w:tcPr>
          <w:tcBorders/>
          <w:tcMar>
            <w:left w:w="108" w:type="dxa"/>
            <w:top w:w="85" w:type="dxa"/>
            <w:right w:w="108" w:type="dxa"/>
            <w:bottom w:w="85" w:type="dxa"/>
          </w:tcMar>
          <w:tcW w:w="2271" w:type="dxa"/>
          <w:vAlign w:val="center"/>
        </w:tcPr>
        <w:p w14:paraId="5F4B8F96" wp14:textId="77777777">
          <w:pPr>
            <w:pBdr/>
            <w:spacing/>
            <w:ind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Date: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3/2/2026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</w:tc>
      <w:tc>
        <w:tcPr>
          <w:tcBorders/>
          <w:tcW w:w="3362" w:type="dxa"/>
          <w:vAlign w:val="center"/>
        </w:tcPr>
        <w:p w14:paraId="7C1A1211" wp14:textId="77777777">
          <w:pPr>
            <w:pBdr/>
            <w:spacing/>
            <w:ind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ahoma" w:hAnsi="Tahoma" w:eastAsia="Tahoma" w:cs="Tahoma"/>
              <w:sz w:val="18"/>
              <w:szCs w:val="18"/>
            </w:rPr>
            <w:t xml:space="preserve">Page 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begin"/>
          </w:r>
          <w:r>
            <w:rPr>
              <w:rFonts w:ascii="Tahoma" w:hAnsi="Tahoma" w:eastAsia="Tahoma" w:cs="Tahoma"/>
              <w:b/>
              <w:sz w:val="24"/>
              <w:szCs w:val="24"/>
            </w:rPr>
            <w:instrText xml:space="preserve">PAGE</w:instrTex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separate"/>
          </w:r>
          <w:r>
            <w:rPr>
              <w:rFonts w:ascii="Tahoma" w:hAnsi="Tahoma" w:eastAsia="Tahoma" w:cs="Tahoma"/>
              <w:b/>
              <w:sz w:val="24"/>
              <w:szCs w:val="24"/>
            </w:rPr>
            <w:t xml:space="preserve">2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end"/>
          </w:r>
          <w:r>
            <w:rPr>
              <w:rFonts w:ascii="Tahoma" w:hAnsi="Tahoma" w:eastAsia="Tahoma" w:cs="Tahoma"/>
              <w:sz w:val="18"/>
              <w:szCs w:val="18"/>
            </w:rPr>
            <w:t xml:space="preserve"> of 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begin"/>
          </w:r>
          <w:r>
            <w:rPr>
              <w:rFonts w:ascii="Tahoma" w:hAnsi="Tahoma" w:eastAsia="Tahoma" w:cs="Tahoma"/>
              <w:b/>
              <w:sz w:val="24"/>
              <w:szCs w:val="24"/>
            </w:rPr>
            <w:instrText xml:space="preserve">NUMPAGES</w:instrTex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separate"/>
          </w:r>
          <w:r>
            <w:rPr>
              <w:rFonts w:ascii="Tahoma" w:hAnsi="Tahoma" w:eastAsia="Tahoma" w:cs="Tahoma"/>
              <w:b/>
              <w:sz w:val="24"/>
              <w:szCs w:val="24"/>
            </w:rPr>
            <w:t xml:space="preserve">3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end"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</w:tc>
    </w:tr>
  </w:tbl>
  <w:p xmlns:wp14="http://schemas.microsoft.com/office/word/2010/wordml" w14:paraId="0D108E68" wp14:textId="77777777">
    <w:pPr>
      <w:pBdr/>
      <w:bidi w:val="true"/>
      <w:spacing/>
      <w:ind w:left="0" w:firstLine="0"/>
      <w:rPr>
        <w:rFonts w:hint="cs" w:ascii="Arial" w:hAnsi="Arial" w:eastAsia="Arial" w:cs="Arial"/>
        <w:color w:val="666666"/>
        <w:sz w:val="20"/>
        <w:szCs w:val="20"/>
      </w:rPr>
    </w:pPr>
    <w:r>
      <w:rPr>
        <w:rFonts w:ascii="Arial" w:hAnsi="Arial" w:eastAsia="Arial" w:cs="Arial"/>
        <w:color w:val="666666"/>
        <w:sz w:val="20"/>
        <w:szCs w:val="20"/>
      </w:rPr>
    </w:r>
    <w:r>
      <w:rPr>
        <w:rFonts w:hint="cs" w:ascii="Arial" w:hAnsi="Arial" w:eastAsia="Arial" w:cs="Arial"/>
        <w:color w:val="666666"/>
        <w:sz w:val="20"/>
        <w:szCs w:val="20"/>
        <w:rtl/>
      </w:rPr>
    </w:r>
    <w:r/>
  </w:p>
  <w:p w14:paraId="722F0CB8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40" w:lineRule="auto"/>
      <w:ind w:hanging="1440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xmlns:pic="http://schemas.openxmlformats.org/drawingml/2006/picture" mc:Ignorable="w14 w15 wp14">
  <w:p w:rsidP="185E1A0D" w14:paraId="72C5D93D" w14:textId="1CB1A1D8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2160" w:hanging="1440"/>
      <w:rPr>
        <w:sz w:val="60"/>
        <w:szCs w:val="60"/>
      </w:rPr>
    </w:pPr>
    <w:r>
      <mc:AlternateContent>
        <mc:Choice Requires="wpg">
          <w:drawing>
            <wp:inline xmlns:wp="http://schemas.openxmlformats.org/drawingml/2006/wordprocessingDrawing" distT="0" distB="0" distL="0" distR="0" wp14:anchorId="22567FFC" wp14:editId="7777777">
              <wp:extent cx="1533525" cy="361950"/>
              <wp:effectExtent l="0" t="0" r="0" b="0"/>
              <wp:docPr id="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0951913" name="image1.png"/>
                      <pic:cNvPicPr/>
                      <pic:nvPr/>
                    </pic:nvPicPr>
                    <pic:blipFill rotWithShape="1">
                      <a:blip r:embed="rId1"/>
                      <a:srcRect l="0" t="0" r="0" b="0"/>
                      <a:stretch/>
                    </pic:blipFill>
                    <pic:spPr bwMode="auto">
                      <a:xfrm rot="0" flipH="0" flipV="0">
                        <a:off x="0" y="0"/>
                        <a:ext cx="1533524" cy="361949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 w14:anchorId="0C24EB2E">
            <v:shapetype id="_x0000_t75" coordsize="21600,21600" filled="f" stroked="f" o:spt="75" o:preferrelative="t" path="m@4@5l@4@11@9@11@9@5xe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gradientshapeok="t" o:connecttype="rect" o:extrusionok="f"/>
              <o:lock v:ext="edit" aspectratio="t"/>
            </v:shapetype>
            <v:shape id="_x0000_i1" style="width:120.75pt;height:28.50pt;mso-wrap-distance-left:0.00pt;mso-wrap-distance-top:0.00pt;mso-wrap-distance-right:0.00pt;mso-wrap-distance-bottom:0.00pt;rotation:0;z-index:1;" o:spid="_x0000_s1" type="#_x0000_t75">
              <v:imagedata cropleft="0f" croptop="0f" cropright="0f" cropbottom="0f" o:title="" r:id="rId1"/>
              <o:lock v:ext="edit" rotation="t"/>
            </v:shape>
          </w:pict>
        </mc:Fallback>
      </mc:AlternateContent>
    </w:r>
    <w:r/>
    <w:r>
      <w:rPr>
        <w:sz w:val="60"/>
        <w:szCs w:val="60"/>
      </w:rPr>
    </w:r>
    <w:r>
      <w:rPr>
        <w:sz w:val="60"/>
        <w:szCs w:val="6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50D0DC2" w14:textId="77777777">
    <w:pPr>
      <w:pBdr/>
      <w:spacing/>
      <w:ind w:left="0" w:firstLine="0"/>
      <w:rPr>
        <w:rFonts w:ascii="Arial" w:hAnsi="Arial" w:eastAsia="Arial" w:cs="Arial"/>
        <w:color w:val="666666"/>
        <w:sz w:val="20"/>
        <w:szCs w:val="20"/>
      </w:rPr>
    </w:pPr>
    <w:r>
      <w:rPr>
        <w:rFonts w:ascii="Arial" w:hAnsi="Arial" w:eastAsia="Arial" w:cs="Arial"/>
        <w:color w:val="666666"/>
        <w:sz w:val="20"/>
        <w:szCs w:val="20"/>
      </w:rPr>
      <w:t xml:space="preserve">   </w:t>
    </w:r>
    <w:r>
      <w:rPr>
        <w:rFonts w:ascii="Arial" w:hAnsi="Arial" w:eastAsia="Arial" w:cs="Arial"/>
        <w:color w:val="666666"/>
        <w:sz w:val="20"/>
        <w:szCs w:val="20"/>
      </w:rPr>
    </w:r>
  </w:p>
  <w:p w14:paraId="741F4E09" w14:textId="732ECA1F">
    <w:pPr>
      <w:pBdr/>
      <w:bidi w:val="true"/>
      <w:spacing/>
      <w:ind w:left="0" w:firstLine="0"/>
      <w:rPr>
        <w:rFonts w:ascii="Arial" w:hAnsi="Arial" w:eastAsia="Arial" w:cs="Arial"/>
        <w:sz w:val="20"/>
        <w:szCs w:val="20"/>
      </w:rPr>
    </w:pPr>
    <w:r>
      <w:rPr>
        <w:rFonts w:ascii="Arial" w:hAnsi="Arial" w:eastAsia="Arial" w:cs="Arial"/>
        <w:color w:val="666666"/>
        <w:sz w:val="20"/>
        <w:szCs w:val="20"/>
      </w:rPr>
      <w:t xml:space="preserve">  </w:t>
    </w:r>
    <w:r>
      <w:rPr>
        <w:rFonts w:ascii="Arial" w:hAnsi="Arial" w:eastAsia="Arial" w:cs="Arial"/>
        <w:color w:val="666666"/>
        <w:sz w:val="20"/>
        <w:szCs w:val="20"/>
      </w:rPr>
      <w:tab/>
    </w:r>
    <w:r>
      <w:rPr>
        <w:rFonts w:ascii="Arial" w:hAnsi="Arial" w:eastAsia="Arial" w:cs="Arial"/>
        <w:color w:val="666666"/>
        <w:sz w:val="20"/>
        <w:szCs w:val="20"/>
      </w:rPr>
      <w:t xml:space="preserve">Internal</w:t>
    </w:r>
    <w:r>
      <w:rPr>
        <w:rFonts w:ascii="Arial" w:hAnsi="Arial" w:eastAsia="Arial" w:cs="Arial"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1E4"/>
    <w:lvl w:ilvl="0">
      <w:isLgl w:val="false"/>
      <w:lvlJc w:val="left"/>
      <w:lvlText w:val="●"/>
      <w:numFmt w:val="bullet"/>
      <w:pPr>
        <w:pBdr/>
        <w:spacing/>
        <w:ind w:left="7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16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left="288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3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left="504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480" w:hanging="36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1BA07CA8"/>
    <w:lvl w:ilvl="0">
      <w:isLgl w:val="false"/>
      <w:lvlJc w:val="left"/>
      <w:lvlText w:val="%1."/>
      <w:numFmt w:val="decimal"/>
      <w:pPr>
        <w:pBdr/>
        <w:spacing/>
        <w:ind w:left="720" w:hanging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left="1440" w:hanging="3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left="2160" w:hanging="1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left="2880" w:hanging="3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left="3600" w:hanging="3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left="4320" w:hanging="1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left="5040" w:hanging="3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left="5760" w:hanging="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left="6480" w:hanging="180"/>
      </w:pPr>
      <w:rPr/>
      <w:start w:val="1"/>
      <w:suff w:val="tab"/>
    </w:lvl>
  </w:abstractNum>
  <w:abstractNum w:abstractNumId="2">
    <w:nsid w:val="46B313C9"/>
    <w:lvl w:ilvl="0">
      <w:isLgl w:val="false"/>
      <w:lvlJc w:val="left"/>
      <w:lvlText w:val="%1."/>
      <w:numFmt w:val="decimal"/>
      <w:pPr>
        <w:pBdr/>
        <w:spacing/>
        <w:ind w:left="360" w:hanging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left="792" w:hanging="43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left="1224" w:hanging="50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left="1728" w:hanging="64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left="2232" w:hanging="79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left="2736" w:hanging="934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left="3240" w:hanging="10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left="3744" w:hanging="122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left="4320" w:hanging="1440"/>
      </w:pPr>
      <w:rPr/>
      <w:start w:val="1"/>
      <w:suff w:val="tab"/>
    </w:lvl>
  </w:abstractNum>
  <w:abstractNum w:abstractNumId="3">
    <w:nsid w:val="48A1115D"/>
    <w:lvl w:ilvl="0">
      <w:isLgl w:val="false"/>
      <w:lvlJc w:val="left"/>
      <w:lvlText w:val="%1)"/>
      <w:numFmt w:val="lowerLetter"/>
      <w:pPr>
        <w:pBdr/>
        <w:spacing/>
        <w:ind w:left="720" w:hanging="360"/>
      </w:pPr>
      <w:rPr>
        <w:rFonts w:hint="default"/>
        <w:color w:val="000000" w:themeColor="text1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left="1440" w:hanging="3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left="2160" w:hanging="1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left="2880" w:hanging="3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left="3600" w:hanging="3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left="4320" w:hanging="1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left="5040" w:hanging="3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left="5760" w:hanging="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left="6480" w:hanging="180"/>
      </w:pPr>
      <w:rPr/>
      <w:start w:val="1"/>
      <w:suff w:val="tab"/>
    </w:lvl>
  </w:abstractNum>
  <w:abstractNum w:abstractNumId="4">
    <w:nsid w:val="57EB26C6"/>
    <w:lvl w:ilvl="0">
      <w:isLgl w:val="false"/>
      <w:lvlJc w:val="left"/>
      <w:lvlText w:val="●"/>
      <w:numFmt w:val="bullet"/>
      <w:pPr>
        <w:pBdr/>
        <w:spacing/>
        <w:ind w:left="7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16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left="288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3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left="504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480" w:hanging="36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5">
    <w:nsid w:val="79161D3C"/>
    <w:lvl w:ilvl="0">
      <w:isLgl w:val="false"/>
      <w:lvlJc w:val="left"/>
      <w:lvlText w:val="●"/>
      <w:numFmt w:val="bullet"/>
      <w:pPr>
        <w:pBdr/>
        <w:spacing/>
        <w:ind w:left="7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40" w:hanging="36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16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left="288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600" w:hanging="36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32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left="5040" w:hanging="36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60" w:hanging="3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480" w:hanging="36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6">
    <w:nsid w:val="7FB93576"/>
    <w:lvl w:ilvl="0">
      <w:isLgl w:val="false"/>
      <w:lvlJc w:val="left"/>
      <w:lvlText w:val="%1"/>
      <w:numFmt w:val="decimal"/>
      <w:pPr>
        <w:pBdr/>
        <w:spacing/>
        <w:ind w:left="432" w:hanging="432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left="576" w:hanging="576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left="720" w:hanging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left="864" w:hanging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left="1008" w:hanging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left="1152" w:hanging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left="1296" w:hanging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left="1440" w:hanging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left="1584" w:hanging="1584"/>
      </w:pPr>
      <w:rPr/>
      <w:start w:val="1"/>
      <w:suff w:val="tab"/>
    </w:lvl>
  </w:abstractNum>
  <w:abstractNum w:abstractNumId="7">
    <w:nsid w:val="55C4FF9A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5FF8EE6A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7FB93576"/>
    <w:lvl w:ilvl="0">
      <w:isLgl w:val="false"/>
      <w:lvlJc w:val="left"/>
      <w:lvlText w:val="%1"/>
      <w:numFmt w:val="decimal"/>
      <w:pPr>
        <w:pBdr/>
        <w:spacing/>
        <w:ind w:left="432" w:hanging="432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left="576" w:hanging="576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left="720" w:hanging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left="864" w:hanging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left="1008" w:hanging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left="1152" w:hanging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left="1296" w:hanging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left="1440" w:hanging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left="1584" w:hanging="1584"/>
      </w:pPr>
      <w:rPr/>
      <w:start w:val="1"/>
      <w:suff w:val="tab"/>
    </w:lvl>
  </w:abstractNum>
  <w:abstractNum w:abstractNumId="10">
    <w:nsid w:val="464DA795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nsid w:val="5F61D07D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174E2AE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nsid w:val="2A3AFB72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4">
    <w:nsid w:val="1F2D25FF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30FB8F1C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725D760C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6E862F33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8">
    <w:nsid w:val="219E2892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38BC3C21"/>
    <w:lvl w:ilvl="0">
      <w:isLgl w:val="false"/>
      <w:lvlJc w:val="left"/>
      <w:lvlText w:val="%1."/>
      <w:numFmt w:val="decimal"/>
      <w:pPr>
        <w:pBdr/>
        <w:spacing/>
        <w:ind w:left="502" w:hanging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left="360" w:hanging="36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left="720" w:hanging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left="720" w:hanging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left="1080" w:hanging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left="1080" w:hanging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left="1440" w:hanging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left="1440" w:hanging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left="1800" w:hanging="1800"/>
      </w:pPr>
      <w:rPr/>
      <w:start w:val="1"/>
      <w:suff w:val="tab"/>
    </w:lvl>
  </w:abstractNum>
  <w:abstractNum w:abstractNumId="20">
    <w:nsid w:val="664BAEE1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1">
    <w:nsid w:val="7A29C77B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2">
    <w:nsid w:val="544BC9C6"/>
    <w:lvl w:ilvl="0">
      <w:isLgl w:val="false"/>
      <w:lvlJc w:val="left"/>
      <w:lvlText w:val="·"/>
      <w:numFmt w:val="bullet"/>
      <w:pPr>
        <w:pBdr/>
        <w:spacing/>
        <w:ind w:left="709" w:hanging="3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429" w:hanging="36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left="2149" w:hanging="3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left="2869" w:hanging="36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589" w:hanging="36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left="4309" w:hanging="3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left="5029" w:hanging="36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749" w:hanging="3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left="6469" w:hanging="36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6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688A6"/>
    <w:rsid w:val="0011957C"/>
    <w:rsid w:val="095C800A"/>
    <w:rsid w:val="120C830C"/>
    <w:rsid w:val="185E1A0D"/>
    <w:rsid w:val="2349AE40"/>
    <w:rsid w:val="2D118DD9"/>
    <w:rsid w:val="48148BB7"/>
    <w:rsid w:val="54A710FD"/>
    <w:rsid w:val="5D8688A6"/>
  </w:rsids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  <w14:docId w14:val="41555CBF"/>
  <w15:docId w15:val="{6C4D12CB-9CFA-450D-8535-D0478EA885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hint="default" w:ascii="Calibri" w:hAnsi="Calibri" w:eastAsia="Calibri" w:cs="Calibri"/>
        <w:sz w:val="22"/>
        <w:szCs w:val="22"/>
        <w:lang w:val="en" w:eastAsia="en-US" w:bidi="he-IL"/>
      </w:rPr>
    </w:rPrDefault>
    <w:pPrDefault>
      <w:pPr>
        <w:pBdr/>
        <w:spacing w:before="0" w:beforeAutospacing="0" w:after="0" w:afterAutospacing="0" w:line="276" w:lineRule="auto"/>
        <w:ind w:left="720" w:right="0" w:hanging="360"/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852"/>
    <w:next w:val="852"/>
    <w:link w:val="156"/>
    <w:uiPriority w:val="9"/>
    <w:unhideWhenUsed/>
    <w:qFormat/>
    <w:pPr>
      <w:keepNext w:val="true"/>
      <w:keepLines w:val="true"/>
      <w:pBdr/>
      <w:spacing w:before="40" w:after="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52"/>
    <w:next w:val="85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52"/>
    <w:next w:val="85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59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59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59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59"/>
    <w:link w:val="85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59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59"/>
    <w:link w:val="85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5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5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5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859"/>
    <w:link w:val="86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859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52"/>
    <w:next w:val="85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5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5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52"/>
    <w:next w:val="85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5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5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5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5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5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5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852"/>
    <w:next w:val="85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5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5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5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5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5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5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52"/>
    <w:next w:val="852"/>
    <w:uiPriority w:val="39"/>
    <w:unhideWhenUsed/>
    <w:pPr>
      <w:pBdr/>
      <w:spacing w:after="100"/>
      <w:ind/>
    </w:pPr>
  </w:style>
  <w:style w:type="paragraph" w:styleId="190">
    <w:name w:val="toc 2"/>
    <w:basedOn w:val="852"/>
    <w:next w:val="852"/>
    <w:uiPriority w:val="39"/>
    <w:unhideWhenUsed/>
    <w:pPr>
      <w:pBdr/>
      <w:spacing w:after="100"/>
      <w:ind w:left="220"/>
    </w:pPr>
  </w:style>
  <w:style w:type="paragraph" w:styleId="191">
    <w:name w:val="toc 3"/>
    <w:basedOn w:val="852"/>
    <w:next w:val="852"/>
    <w:uiPriority w:val="39"/>
    <w:unhideWhenUsed/>
    <w:pPr>
      <w:pBdr/>
      <w:spacing w:after="100"/>
      <w:ind w:left="440"/>
    </w:pPr>
  </w:style>
  <w:style w:type="paragraph" w:styleId="192">
    <w:name w:val="toc 4"/>
    <w:basedOn w:val="852"/>
    <w:next w:val="852"/>
    <w:uiPriority w:val="39"/>
    <w:unhideWhenUsed/>
    <w:pPr>
      <w:pBdr/>
      <w:spacing w:after="100"/>
      <w:ind w:left="660"/>
    </w:pPr>
  </w:style>
  <w:style w:type="paragraph" w:styleId="193">
    <w:name w:val="toc 5"/>
    <w:basedOn w:val="852"/>
    <w:next w:val="852"/>
    <w:uiPriority w:val="39"/>
    <w:unhideWhenUsed/>
    <w:pPr>
      <w:pBdr/>
      <w:spacing w:after="100"/>
      <w:ind w:left="880"/>
    </w:pPr>
  </w:style>
  <w:style w:type="paragraph" w:styleId="194">
    <w:name w:val="toc 6"/>
    <w:basedOn w:val="852"/>
    <w:next w:val="852"/>
    <w:uiPriority w:val="39"/>
    <w:unhideWhenUsed/>
    <w:pPr>
      <w:pBdr/>
      <w:spacing w:after="100"/>
      <w:ind w:left="1100"/>
    </w:pPr>
  </w:style>
  <w:style w:type="paragraph" w:styleId="195">
    <w:name w:val="toc 7"/>
    <w:basedOn w:val="852"/>
    <w:next w:val="852"/>
    <w:uiPriority w:val="39"/>
    <w:unhideWhenUsed/>
    <w:pPr>
      <w:pBdr/>
      <w:spacing w:after="100"/>
      <w:ind w:left="1320"/>
    </w:pPr>
  </w:style>
  <w:style w:type="paragraph" w:styleId="196">
    <w:name w:val="toc 8"/>
    <w:basedOn w:val="852"/>
    <w:next w:val="852"/>
    <w:uiPriority w:val="39"/>
    <w:unhideWhenUsed/>
    <w:pPr>
      <w:pBdr/>
      <w:spacing w:after="100"/>
      <w:ind w:left="1540"/>
    </w:pPr>
  </w:style>
  <w:style w:type="paragraph" w:styleId="197">
    <w:name w:val="toc 9"/>
    <w:basedOn w:val="852"/>
    <w:next w:val="85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5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52"/>
    <w:next w:val="852"/>
    <w:uiPriority w:val="99"/>
    <w:unhideWhenUsed/>
    <w:pPr>
      <w:pBdr/>
      <w:spacing w:after="0" w:afterAutospacing="0"/>
      <w:ind/>
    </w:pPr>
  </w:style>
  <w:style w:type="paragraph" w:styleId="852" w:default="1">
    <w:name w:val="Normal"/>
    <w:qFormat/>
    <w:pPr>
      <w:pBdr/>
      <w:spacing/>
      <w:ind/>
    </w:pPr>
  </w:style>
  <w:style w:type="paragraph" w:styleId="853">
    <w:name w:val="Heading 1"/>
    <w:basedOn w:val="852"/>
    <w:next w:val="852"/>
    <w:uiPriority w:val="9"/>
    <w:qFormat/>
    <w:pPr>
      <w:keepNext w:val="true"/>
      <w:keepLines w:val="true"/>
      <w:pBdr/>
      <w:spacing w:before="360" w:after="120"/>
      <w:ind w:left="432"/>
      <w:outlineLvl w:val="0"/>
    </w:pPr>
    <w:rPr>
      <w:b/>
      <w:sz w:val="28"/>
      <w:szCs w:val="28"/>
    </w:rPr>
  </w:style>
  <w:style w:type="paragraph" w:styleId="854">
    <w:name w:val="Heading 2"/>
    <w:basedOn w:val="852"/>
    <w:next w:val="852"/>
    <w:uiPriority w:val="9"/>
    <w:unhideWhenUsed/>
    <w:qFormat/>
    <w:pPr>
      <w:keepNext w:val="true"/>
      <w:keepLines w:val="true"/>
      <w:pBdr/>
      <w:spacing w:before="360" w:after="120"/>
      <w:ind w:left="576"/>
      <w:outlineLvl w:val="1"/>
    </w:pPr>
    <w:rPr>
      <w:b/>
      <w:sz w:val="24"/>
      <w:szCs w:val="24"/>
    </w:rPr>
  </w:style>
  <w:style w:type="paragraph" w:styleId="855">
    <w:name w:val="Heading 3"/>
    <w:basedOn w:val="852"/>
    <w:next w:val="852"/>
    <w:uiPriority w:val="9"/>
    <w:semiHidden/>
    <w:unhideWhenUsed/>
    <w:qFormat/>
    <w:pPr>
      <w:keepNext w:val="true"/>
      <w:keepLines w:val="true"/>
      <w:pBdr/>
      <w:spacing w:before="320" w:after="80"/>
      <w:ind w:hanging="720"/>
      <w:outlineLvl w:val="2"/>
    </w:pPr>
    <w:rPr>
      <w:color w:val="434343"/>
      <w:sz w:val="28"/>
      <w:szCs w:val="28"/>
    </w:rPr>
  </w:style>
  <w:style w:type="paragraph" w:styleId="856">
    <w:name w:val="Heading 4"/>
    <w:basedOn w:val="852"/>
    <w:next w:val="852"/>
    <w:uiPriority w:val="9"/>
    <w:semiHidden/>
    <w:unhideWhenUsed/>
    <w:qFormat/>
    <w:pPr>
      <w:keepNext w:val="true"/>
      <w:keepLines w:val="true"/>
      <w:pBdr/>
      <w:spacing w:before="280" w:after="80"/>
      <w:ind w:left="864" w:hanging="864"/>
      <w:outlineLvl w:val="3"/>
    </w:pPr>
    <w:rPr>
      <w:color w:val="666666"/>
      <w:sz w:val="24"/>
      <w:szCs w:val="24"/>
    </w:rPr>
  </w:style>
  <w:style w:type="paragraph" w:styleId="857">
    <w:name w:val="Heading 5"/>
    <w:basedOn w:val="852"/>
    <w:next w:val="852"/>
    <w:uiPriority w:val="9"/>
    <w:semiHidden/>
    <w:unhideWhenUsed/>
    <w:qFormat/>
    <w:pPr>
      <w:keepNext w:val="true"/>
      <w:keepLines w:val="true"/>
      <w:pBdr/>
      <w:spacing w:before="240" w:after="80"/>
      <w:ind w:left="1008" w:hanging="1008"/>
      <w:outlineLvl w:val="4"/>
    </w:pPr>
    <w:rPr>
      <w:color w:val="666666"/>
    </w:rPr>
  </w:style>
  <w:style w:type="paragraph" w:styleId="858">
    <w:name w:val="Heading 6"/>
    <w:basedOn w:val="852"/>
    <w:next w:val="852"/>
    <w:uiPriority w:val="9"/>
    <w:semiHidden/>
    <w:unhideWhenUsed/>
    <w:qFormat/>
    <w:pPr>
      <w:keepNext w:val="true"/>
      <w:keepLines w:val="true"/>
      <w:pBdr/>
      <w:spacing w:before="240" w:after="80"/>
      <w:ind w:left="1152" w:hanging="1152"/>
      <w:outlineLvl w:val="5"/>
    </w:pPr>
    <w:rPr>
      <w:i/>
      <w:color w:val="666666"/>
    </w:rPr>
  </w:style>
  <w:style w:type="character" w:styleId="859" w:default="1">
    <w:name w:val="Default Paragraph Font"/>
    <w:uiPriority w:val="1"/>
    <w:unhideWhenUsed/>
    <w:pPr>
      <w:pBdr/>
      <w:spacing/>
      <w:ind/>
    </w:pPr>
  </w:style>
  <w:style w:type="table" w:styleId="86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1" w:default="1">
    <w:name w:val="No List"/>
    <w:uiPriority w:val="99"/>
    <w:semiHidden/>
    <w:unhideWhenUsed/>
    <w:pPr>
      <w:pBdr/>
      <w:spacing/>
      <w:ind/>
    </w:pPr>
  </w:style>
  <w:style w:type="table" w:styleId="862" w:customStyle="1">
    <w:name w:val="Table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3">
    <w:name w:val="Title"/>
    <w:basedOn w:val="852"/>
    <w:next w:val="852"/>
    <w:uiPriority w:val="10"/>
    <w:qFormat/>
    <w:pPr>
      <w:keepNext w:val="true"/>
      <w:keepLines w:val="true"/>
      <w:pBdr/>
      <w:spacing w:after="60"/>
      <w:ind/>
      <w:jc w:val="center"/>
    </w:pPr>
    <w:rPr>
      <w:sz w:val="60"/>
      <w:szCs w:val="60"/>
    </w:rPr>
  </w:style>
  <w:style w:type="paragraph" w:styleId="864">
    <w:name w:val="Subtitle"/>
    <w:basedOn w:val="852"/>
    <w:next w:val="852"/>
    <w:uiPriority w:val="11"/>
    <w:qFormat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865" w:customStyle="1">
    <w:name w:val="StGen0"/>
    <w:basedOn w:val="860"/>
    <w:pPr>
      <w:pBdr/>
      <w:spacing w:line="240" w:lineRule="auto"/>
      <w:ind/>
    </w:pPr>
    <w:rPr>
      <w:rFonts w:ascii="Cambria" w:hAnsi="Cambria" w:eastAsia="Cambria" w:cs="Cambria"/>
    </w:r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StGen1"/>
    <w:basedOn w:val="860"/>
    <w:pPr>
      <w:pBdr/>
      <w:spacing w:line="240" w:lineRule="auto"/>
      <w:ind/>
    </w:pPr>
    <w:rPr>
      <w:rFonts w:ascii="Cambria" w:hAnsi="Cambria" w:eastAsia="Cambria" w:cs="Cambria"/>
    </w:r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StGen2"/>
    <w:basedOn w:val="860"/>
    <w:pPr>
      <w:pBdr/>
      <w:spacing w:line="240" w:lineRule="auto"/>
      <w:ind/>
    </w:pPr>
    <w:rPr>
      <w:rFonts w:ascii="Cambria" w:hAnsi="Cambria" w:eastAsia="Cambria" w:cs="Cambria"/>
    </w:r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StGen3"/>
    <w:basedOn w:val="860"/>
    <w:pPr>
      <w:pBdr/>
      <w:spacing w:line="240" w:lineRule="auto"/>
      <w:ind/>
    </w:pPr>
    <w:rPr>
      <w:rFonts w:ascii="Cambria" w:hAnsi="Cambria" w:eastAsia="Cambria" w:cs="Cambria"/>
    </w:r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9">
    <w:name w:val="Header"/>
    <w:basedOn w:val="852"/>
    <w:link w:val="870"/>
    <w:uiPriority w:val="99"/>
    <w:unhideWhenUsed/>
    <w:pPr>
      <w:pBdr/>
      <w:tabs>
        <w:tab w:val="center" w:leader="none" w:pos="4153"/>
        <w:tab w:val="right" w:leader="none" w:pos="8306"/>
      </w:tabs>
      <w:spacing w:line="240" w:lineRule="auto"/>
      <w:ind/>
    </w:pPr>
  </w:style>
  <w:style w:type="character" w:styleId="870" w:customStyle="1">
    <w:name w:val="Header Char"/>
    <w:basedOn w:val="859"/>
    <w:link w:val="869"/>
    <w:uiPriority w:val="99"/>
    <w:pPr>
      <w:pBdr/>
      <w:spacing/>
      <w:ind/>
    </w:pPr>
  </w:style>
  <w:style w:type="paragraph" w:styleId="871">
    <w:name w:val="Footer"/>
    <w:basedOn w:val="852"/>
    <w:link w:val="872"/>
    <w:uiPriority w:val="99"/>
    <w:unhideWhenUsed/>
    <w:pPr>
      <w:pBdr/>
      <w:tabs>
        <w:tab w:val="center" w:leader="none" w:pos="4153"/>
        <w:tab w:val="right" w:leader="none" w:pos="8306"/>
      </w:tabs>
      <w:spacing w:line="240" w:lineRule="auto"/>
      <w:ind/>
    </w:pPr>
  </w:style>
  <w:style w:type="character" w:styleId="872" w:customStyle="1">
    <w:name w:val="Footer Char"/>
    <w:basedOn w:val="859"/>
    <w:link w:val="871"/>
    <w:uiPriority w:val="99"/>
    <w:pPr>
      <w:pBdr/>
      <w:spacing/>
      <w:ind/>
    </w:pPr>
  </w:style>
  <w:style w:type="table" w:styleId="873">
    <w:name w:val="Table Grid"/>
    <w:basedOn w:val="860"/>
    <w:uiPriority w:val="59"/>
    <w:pPr>
      <w:pBdr/>
      <w:spacing w:after="200"/>
      <w:ind w:left="0" w:firstLine="0"/>
      <w:jc w:val="left"/>
    </w:pPr>
    <w:rPr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4" w:customStyle="1">
    <w:name w:val="wacimagecontainer"/>
    <w:basedOn w:val="859"/>
    <w:pPr>
      <w:pBdr/>
      <w:spacing/>
      <w:ind/>
    </w:pPr>
  </w:style>
  <w:style w:type="paragraph" w:styleId="875">
    <w:name w:val="List Paragraph"/>
    <w:basedOn w:val="852"/>
    <w:uiPriority w:val="34"/>
    <w:qFormat/>
    <w:pPr>
      <w:pBdr/>
      <w:spacing/>
      <w:ind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numbering" Target="numbering.xml" Id="rId6" /><Relationship Type="http://schemas.openxmlformats.org/officeDocument/2006/relationships/footnotes" Target="footnotes.xml" Id="rId7" /><Relationship Type="http://schemas.openxmlformats.org/officeDocument/2006/relationships/endnotes" Target="endnotes.xml" Id="rId8" /><Relationship Type="http://schemas.openxmlformats.org/officeDocument/2006/relationships/header" Target="header1.xml" Id="rId9" /><Relationship Type="http://schemas.openxmlformats.org/officeDocument/2006/relationships/header" Target="header2.xml" Id="rId10" /><Relationship Type="http://schemas.openxmlformats.org/officeDocument/2006/relationships/header" Target="header3.xml" Id="rId11" /><Relationship Type="http://schemas.openxmlformats.org/officeDocument/2006/relationships/footer" Target="footer1.xml" Id="rId12" /><Relationship Type="http://schemas.openxmlformats.org/officeDocument/2006/relationships/footer" Target="footer2.xml" Id="rId13" /><Relationship Type="http://schemas.openxmlformats.org/officeDocument/2006/relationships/footer" Target="footer3.xml" Id="rId14" /><Relationship Type="http://schemas.openxmlformats.org/officeDocument/2006/relationships/customXml" Target="../customXml/item1.xml" Id="rId15" /><Relationship Type="http://schemas.openxmlformats.org/officeDocument/2006/relationships/customXml" Target="../customXml/item2.xml" Id="rId16" /><Relationship Type="http://schemas.openxmlformats.org/officeDocument/2006/relationships/customXml" Target="../customXml/item3.xml" Id="rId17" /><Relationship Type="http://schemas.openxmlformats.org/officeDocument/2006/relationships/customXml" Target="../customXml/item4.xml" Id="rId18" /><Relationship Type="http://schemas.openxmlformats.org/officeDocument/2006/relationships/image" Target="/media/image2.png" Id="rId552985714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F2F63E8B2CD448AE76E168C8C0CE6" ma:contentTypeVersion="11" ma:contentTypeDescription="Create a new document." ma:contentTypeScope="" ma:versionID="06bcc06ff2702c88e7cc9030dd46b707">
  <xsd:schema xmlns:xsd="http://www.w3.org/2001/XMLSchema" xmlns:xs="http://www.w3.org/2001/XMLSchema" xmlns:p="http://schemas.microsoft.com/office/2006/metadata/properties" xmlns:ns2="a3f9909d-2ca0-479e-9cd0-4445d0b28931" xmlns:ns3="e521ba48-1715-4574-bb48-b63f655e3b4c" targetNamespace="http://schemas.microsoft.com/office/2006/metadata/properties" ma:root="true" ma:fieldsID="d4382526d1cebeb60d651eb355012bd5" ns2:_="" ns3:_="">
    <xsd:import namespace="a3f9909d-2ca0-479e-9cd0-4445d0b28931"/>
    <xsd:import namespace="e521ba48-1715-4574-bb48-b63f655e3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909d-2ca0-479e-9cd0-4445d0b28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85bde-6f2f-4db1-ab83-08f90c9ee8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1ba48-1715-4574-bb48-b63f655e3b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acfce8-6e87-4365-a9af-281497f34e4f}" ma:internalName="TaxCatchAll" ma:showField="CatchAllData" ma:web="e521ba48-1715-4574-bb48-b63f655e3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uQg8/LewTYUrjHg2BSGYizKr4Q==">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f9909d-2ca0-479e-9cd0-4445d0b28931">
      <Terms xmlns="http://schemas.microsoft.com/office/infopath/2007/PartnerControls"/>
    </lcf76f155ced4ddcb4097134ff3c332f>
    <TaxCatchAll xmlns="e521ba48-1715-4574-bb48-b63f655e3b4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85FC6-FAC3-4F0E-9226-4D2204C1708E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7ecd9c4-540b-4b7e-b51e-0b14f498a03d}">
  <ds:schemaRefs>
    <ds:schemaRef ds:uri="http://schemas.microsoft.com/office/2006/metadata/properties"/>
    <ds:schemaRef ds:uri="http://schemas.microsoft.com/office/infopath/2007/PartnerControls"/>
    <ds:schemaRef ds:uri="744e0a9f-5171-4ab2-9b82-d33463010558"/>
    <ds:schemaRef ds:uri="9ee8a99c-adeb-4cc0-a68d-557c19a1da7f"/>
    <ds:schemaRef ds:uri="http://www.w3.org/2001/XMLSchema-instance"/>
    <ds:schemaRef ds:uri="fbcecf43-a39d-4e40-b21a-a5c09af3d386"/>
    <ds:schemaRef ds:uri="c85972a1-352b-46dd-8c26-af6200a844c2"/>
  </ds:schemaRefs>
</ds:datastoreItem>
</file>

<file path=customXml/itemProps4.xml><?xml version="1.0" encoding="utf-8"?>
<ds:datastoreItem xmlns:ds="http://schemas.openxmlformats.org/officeDocument/2006/customXml" ds:itemID="{a38b2224-ada4-4694-9dc1-caa84c66d64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Gali Sheskin</lastModifiedBy>
  <revision>14</revision>
  <dcterms:created xsi:type="dcterms:W3CDTF">2025-12-30T11:21:00.0000000Z</dcterms:created>
  <dcterms:modified xsi:type="dcterms:W3CDTF">2026-06-30T12:11:44.1677578Z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92cecb401bf8169df4630f4ed6aed776405a746202cdebe929197d0858c4adda</vt:lpwstr>
  </property>
  <property fmtid="{D5CDD505-2E9C-101B-9397-08002B2CF9AE}" pid="3" name="ContentTypeId">
    <vt:lpwstr>0x010100F9AF2F63E8B2CD448AE76E168C8C0CE6</vt:lpwstr>
  </property>
  <property fmtid="{D5CDD505-2E9C-101B-9397-08002B2CF9AE}" pid="4" name="MediaServiceImageTags">
    <vt:lpwstr/>
  </property>
</Properties>
</file>