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pic="http://schemas.openxmlformats.org/drawingml/2006/picture" xmlns:a14="http://schemas.microsoft.com/office/drawing/2010/main" mc:Ignorable="w14 w15 w16se w16cid w16 w16cex w16sdtdh wp14">
  <w:body>
    <w:p w14:paraId="0A5420AC" w14:textId="3DE666E5">
      <w:pPr>
        <w:pBdr/>
        <w:spacing/>
        <w:ind/>
        <w:rPr>
          <w:rFonts w:ascii="Arial" w:hAnsi="Arial" w:cs="Arial"/>
        </w:rPr>
      </w:pPr>
      <w:r>
        <w:rPr>
          <w:rFonts w:ascii="Arial" w:hAnsi="Arial" w:eastAsia="Arial" w:cs="Arial"/>
          <w:lang w:val="en-US"/>
        </w:rPr>
      </w:r>
      <w:r>
        <w:rPr>
          <w:rFonts w:ascii="Arial" w:hAnsi="Arial" w:eastAsia="Arial" w:cs="Arial"/>
          <w:lang w:val="en-US"/>
        </w:rPr>
      </w:r>
    </w:p>
    <w:p w14:paraId="2260A728" w14:textId="77777777">
      <w:pPr>
        <w:pBdr/>
        <w:spacing/>
        <w:ind/>
        <w:rPr>
          <w:rFonts w:ascii="Arial" w:hAnsi="Arial" w:cs="Arial"/>
        </w:rPr>
      </w:pPr>
      <w:r>
        <w:rPr>
          <w:rFonts w:ascii="Arial" w:hAnsi="Arial" w:eastAsia="Arial" w:cs="Arial"/>
          <w:lang w:val="en-US"/>
        </w:rPr>
      </w:r>
      <w:r>
        <w:rPr>
          <w:rFonts w:ascii="Arial" w:hAnsi="Arial" w:eastAsia="Arial" w:cs="Arial"/>
          <w:lang w:val="en-US"/>
        </w:rPr>
      </w:r>
    </w:p>
    <w:p xmlns:wp14="http://schemas.microsoft.com/office/word/2010/wordml" w14:paraId="73E5334C"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b/>
          <w:color w:val="000000"/>
          <w:sz w:val="72"/>
          <w:lang w:val="en-US"/>
        </w:rPr>
        <w:t xml:space="preserve">Privacy Policy</w:t>
      </w:r>
      <w:r>
        <w:rPr>
          <w:rFonts w:ascii="Arial" w:hAnsi="Arial" w:eastAsia="Arial" w:cs="Arial"/>
        </w:rPr>
      </w:r>
    </w:p>
    <w:p xmlns:wp14="http://schemas.microsoft.com/office/word/2010/wordml" w:rsidP="2C8092DC" w14:paraId="707DFA55" wp14:textId="77777777">
      <w:pPr>
        <w:pBdr>
          <w:top w:val="none" w:color="000000" w:sz="4" w:space="0"/>
          <w:left w:val="none" w:color="000000" w:sz="4" w:space="0"/>
          <w:bottom w:val="none" w:color="000000" w:sz="4" w:space="0"/>
          <w:right w:val="none" w:color="000000" w:sz="4" w:space="0"/>
        </w:pBdr>
        <w:shd w:val="clear" w:color="auto" w:fill="FFFFFF" w:themeFill="background1"/>
        <w:spacing w:before="0" w:after="0"/>
        <w:ind w:left="0" w:right="0" w:firstLine="0"/>
        <w:jc w:val="center"/>
        <w:rPr>
          <w:rFonts w:ascii="Arial" w:hAnsi="Arial" w:eastAsia="Arial" w:cs="Arial"/>
          <w:b w:val="1"/>
          <w:bCs w:val="1"/>
          <w:color w:val="000000" w:themeColor="text1" w:themeTint="FF" w:themeShade="FF"/>
          <w:sz w:val="32"/>
          <w:szCs w:val="32"/>
          <w:lang w:val="en-US"/>
        </w:rPr>
      </w:pPr>
      <w:r w:rsidRPr="2C8092DC" w:rsidR="2C8092DC">
        <w:rPr>
          <w:rFonts w:ascii="Arial" w:hAnsi="Arial" w:eastAsia="Arial" w:cs="Arial"/>
          <w:b w:val="1"/>
          <w:bCs w:val="1"/>
          <w:color w:val="000000"/>
          <w:sz w:val="32"/>
          <w:szCs w:val="32"/>
        </w:rPr>
        <w:t xml:space="preserve">IS-P-020</w:t>
      </w:r>
      <w:r>
        <w:rPr>
          <w:rFonts w:ascii="Arial" w:hAnsi="Arial" w:eastAsia="Arial" w:cs="Arial"/>
          <w:color w:val="000000"/>
          <w:sz w:val="32"/>
          <w:highlight w:val="none"/>
        </w:rPr>
      </w:r>
      <w:r>
        <w:rPr>
          <w:rFonts w:ascii="Arial" w:hAnsi="Arial" w:eastAsia="Arial" w:cs="Arial"/>
        </w:rPr>
      </w:r>
    </w:p>
    <w:p xmlns:wp14="http://schemas.microsoft.com/office/word/2010/wordml" w14:paraId="0F822018"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32"/>
          <w:highlight w:val="none"/>
        </w:rPr>
        <w:t xml:space="preserve"> </w:t>
      </w:r>
      <w:r>
        <w:rPr>
          <w:rFonts w:ascii="Arial" w:hAnsi="Arial" w:eastAsia="Arial" w:cs="Arial"/>
        </w:rPr>
      </w:r>
    </w:p>
    <w:p xmlns:wp14="http://schemas.microsoft.com/office/word/2010/wordml" w14:paraId="2F1554A1"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highlight w:val="none"/>
        </w:rPr>
        <w:t xml:space="preserve"> </w:t>
      </w:r>
      <w:r>
        <w:rPr>
          <w:rFonts w:ascii="Arial" w:hAnsi="Arial" w:eastAsia="Arial" w:cs="Arial"/>
        </w:rPr>
      </w:r>
    </w:p>
    <w:p xmlns:wp14="http://schemas.microsoft.com/office/word/2010/wordml" w14:paraId="445129C9"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rPr>
          <w:rFonts w:ascii="Arial" w:hAnsi="Arial" w:cs="Arial"/>
        </w:rPr>
      </w:pPr>
      <w:r>
        <w:rPr>
          <w:rFonts w:ascii="Arial" w:hAnsi="Arial" w:eastAsia="Arial" w:cs="Arial"/>
          <w:color w:val="000000"/>
          <w:sz w:val="24"/>
        </w:rPr>
        <w:t xml:space="preserve">Document Revision History:</w:t>
      </w:r>
      <w:r>
        <w:rPr>
          <w:rFonts w:ascii="Arial" w:hAnsi="Arial" w:eastAsia="Arial" w:cs="Arial"/>
          <w:color w:val="000000"/>
          <w:sz w:val="24"/>
          <w:highlight w:val="none"/>
        </w:rPr>
        <w:t xml:space="preserve"> </w:t>
      </w:r>
      <w:r>
        <w:rPr>
          <w:rFonts w:ascii="Arial" w:hAnsi="Arial" w:eastAsia="Arial" w:cs="Arial"/>
        </w:rPr>
      </w:r>
    </w:p>
    <w:p xmlns:wp14="http://schemas.microsoft.com/office/word/2010/wordml" w14:paraId="7329AF30"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32"/>
          <w:highlight w:val="none"/>
        </w:rPr>
        <w:t xml:space="preserve"> </w:t>
      </w:r>
      <w:r>
        <w:rPr>
          <w:rFonts w:ascii="Arial" w:hAnsi="Arial" w:eastAsia="Arial" w:cs="Arial"/>
        </w:rPr>
      </w:r>
    </w:p>
    <w:tbl>
      <w:tblPr>
        <w:tblStyle w:val="836"/>
        <w:tblInd w:w="-120" w:type="dxa"/>
        <w:tblW w:w="0" w:type="auto"/>
        <w:tblBorders>
          <w:top w:val="single" w:color="808080" w:sz="6" w:space="0"/>
          <w:left w:val="single" w:color="808080" w:sz="6" w:space="0"/>
          <w:bottom w:val="single" w:color="808080" w:sz="6" w:space="0"/>
          <w:right w:val="single" w:color="808080" w:sz="6" w:space="0"/>
          <w:insideH w:val="none" w:color="000000" w:sz="4" w:space="0"/>
          <w:insideV w:val="none" w:color="000000" w:sz="4" w:space="0"/>
        </w:tblBorders>
        <w:tblLayout w:type="autofit"/>
        <w:tblLook w:val="04A0" w:firstRow="1" w:lastRow="0" w:firstColumn="1" w:lastColumn="0" w:noHBand="0" w:noVBand="1"/>
      </w:tblPr>
      <w:tblGrid>
        <w:gridCol w:w="1643"/>
        <w:gridCol w:w="1854"/>
        <w:gridCol w:w="1896"/>
        <w:gridCol w:w="1685"/>
        <w:gridCol w:w="2275"/>
      </w:tblGrid>
      <w:tr xmlns:wp14="http://schemas.microsoft.com/office/word/2010/wordml" w14:paraId="53D63070" wp14:textId="77777777">
        <w:trPr>
          <w:trHeight w:val="285"/>
        </w:trPr>
        <w:tc>
          <w:tcPr>
            <w:shd w:val="clear" w:color="f2f2f2" w:fill="f2f2f2"/>
            <w:tcBorders>
              <w:top w:val="single" w:color="000000" w:sz="6" w:space="0"/>
              <w:left w:val="single" w:color="000000" w:sz="6" w:space="0"/>
              <w:bottom w:val="single" w:color="000000" w:sz="4" w:space="0"/>
              <w:right w:val="single" w:color="000000" w:sz="4" w:space="0"/>
            </w:tcBorders>
            <w:tcMar>
              <w:left w:w="0" w:type="dxa"/>
              <w:top w:w="0" w:type="dxa"/>
              <w:right w:w="0" w:type="dxa"/>
              <w:bottom w:w="0" w:type="dxa"/>
            </w:tcMar>
            <w:tcW w:w="1643" w:type="dxa"/>
            <w:vAlign w:val="top"/>
          </w:tcPr>
          <w:p w14:paraId="30BF3BD1" wp14:textId="77777777">
            <w:pPr>
              <w:pBdr>
                <w:top w:val="none" w:color="000000" w:sz="4" w:space="0"/>
                <w:left w:val="none" w:color="000000" w:sz="4" w:space="0"/>
                <w:bottom w:val="none" w:color="000000" w:sz="4" w:space="0"/>
                <w:right w:val="none" w:color="000000" w:sz="4" w:space="0"/>
              </w:pBdr>
              <w:shd w:val="clear" w:color="f2f2f2" w:fill="f2f2f2"/>
              <w:spacing w:before="0" w:after="0"/>
              <w:ind w:left="0" w:right="0" w:firstLine="0"/>
              <w:jc w:val="center"/>
              <w:rPr>
                <w:rFonts w:ascii="Arial" w:hAnsi="Arial" w:cs="Arial"/>
              </w:rPr>
            </w:pPr>
            <w:r>
              <w:rPr>
                <w:rFonts w:ascii="Arial" w:hAnsi="Arial" w:eastAsia="Arial" w:cs="Arial"/>
                <w:b/>
                <w:color w:val="000000"/>
                <w:sz w:val="24"/>
              </w:rPr>
              <w:t xml:space="preserve">AUTHOR</w:t>
            </w:r>
            <w:r>
              <w:rPr>
                <w:rFonts w:ascii="Arial" w:hAnsi="Arial" w:eastAsia="Arial" w:cs="Arial"/>
                <w:color w:val="000000"/>
                <w:sz w:val="24"/>
              </w:rPr>
              <w:t xml:space="preserve"> </w:t>
            </w:r>
            <w:r>
              <w:rPr>
                <w:rFonts w:ascii="Arial" w:hAnsi="Arial" w:eastAsia="Arial" w:cs="Arial"/>
              </w:rPr>
            </w:r>
          </w:p>
        </w:tc>
        <w:tc>
          <w:tcPr>
            <w:shd w:val="clear" w:color="f2f2f2" w:fill="f2f2f2"/>
            <w:tcBorders>
              <w:top w:val="single" w:color="000000" w:sz="6" w:space="0"/>
              <w:left w:val="single" w:color="000000" w:sz="4" w:space="0"/>
              <w:bottom w:val="single" w:color="000000" w:sz="4" w:space="0"/>
              <w:right w:val="single" w:color="000000" w:sz="4" w:space="0"/>
            </w:tcBorders>
            <w:tcMar>
              <w:left w:w="0" w:type="dxa"/>
              <w:top w:w="0" w:type="dxa"/>
              <w:right w:w="0" w:type="dxa"/>
              <w:bottom w:w="0" w:type="dxa"/>
            </w:tcMar>
            <w:tcW w:w="1854" w:type="dxa"/>
            <w:vAlign w:val="top"/>
          </w:tcPr>
          <w:p w14:paraId="3AC16E3D" wp14:textId="77777777">
            <w:pPr>
              <w:pBdr>
                <w:top w:val="none" w:color="000000" w:sz="4" w:space="0"/>
                <w:left w:val="none" w:color="000000" w:sz="4" w:space="0"/>
                <w:bottom w:val="none" w:color="000000" w:sz="4" w:space="0"/>
                <w:right w:val="none" w:color="000000" w:sz="4" w:space="0"/>
              </w:pBdr>
              <w:shd w:val="clear" w:color="f2f2f2" w:fill="f2f2f2"/>
              <w:spacing w:before="0" w:after="0"/>
              <w:ind w:left="0" w:right="0" w:firstLine="0"/>
              <w:jc w:val="center"/>
              <w:rPr>
                <w:rFonts w:ascii="Arial" w:hAnsi="Arial" w:cs="Arial"/>
              </w:rPr>
            </w:pPr>
            <w:r>
              <w:rPr>
                <w:rFonts w:ascii="Arial" w:hAnsi="Arial" w:eastAsia="Arial" w:cs="Arial"/>
                <w:b/>
                <w:color w:val="000000"/>
                <w:sz w:val="24"/>
              </w:rPr>
              <w:t xml:space="preserve">REVISION</w:t>
            </w:r>
            <w:r>
              <w:rPr>
                <w:rFonts w:ascii="Arial" w:hAnsi="Arial" w:eastAsia="Arial" w:cs="Arial"/>
                <w:color w:val="000000"/>
                <w:sz w:val="24"/>
              </w:rPr>
              <w:t xml:space="preserve"> </w:t>
            </w:r>
            <w:r>
              <w:rPr>
                <w:rFonts w:ascii="Arial" w:hAnsi="Arial" w:eastAsia="Arial" w:cs="Arial"/>
              </w:rPr>
            </w:r>
          </w:p>
        </w:tc>
        <w:tc>
          <w:tcPr>
            <w:shd w:val="clear" w:color="f2f2f2" w:fill="f2f2f2"/>
            <w:tcBorders>
              <w:top w:val="single" w:color="000000" w:sz="6" w:space="0"/>
              <w:left w:val="single" w:color="000000" w:sz="4" w:space="0"/>
              <w:bottom w:val="single" w:color="000000" w:sz="4" w:space="0"/>
              <w:right w:val="single" w:color="000000" w:sz="4" w:space="0"/>
            </w:tcBorders>
            <w:tcMar>
              <w:left w:w="0" w:type="dxa"/>
              <w:top w:w="0" w:type="dxa"/>
              <w:right w:w="0" w:type="dxa"/>
              <w:bottom w:w="0" w:type="dxa"/>
            </w:tcMar>
            <w:tcW w:w="1896" w:type="dxa"/>
            <w:vAlign w:val="top"/>
          </w:tcPr>
          <w:p w14:paraId="41B052FA" wp14:textId="77777777">
            <w:pPr>
              <w:pBdr>
                <w:top w:val="none" w:color="000000" w:sz="4" w:space="0"/>
                <w:left w:val="none" w:color="000000" w:sz="4" w:space="0"/>
                <w:bottom w:val="none" w:color="000000" w:sz="4" w:space="0"/>
                <w:right w:val="none" w:color="000000" w:sz="4" w:space="0"/>
              </w:pBdr>
              <w:shd w:val="clear" w:color="f2f2f2" w:fill="f2f2f2"/>
              <w:spacing w:before="0" w:after="0"/>
              <w:ind w:left="0" w:right="0" w:firstLine="0"/>
              <w:jc w:val="center"/>
              <w:rPr>
                <w:rFonts w:ascii="Arial" w:hAnsi="Arial" w:cs="Arial"/>
              </w:rPr>
            </w:pPr>
            <w:r>
              <w:rPr>
                <w:rFonts w:ascii="Arial" w:hAnsi="Arial" w:eastAsia="Arial" w:cs="Arial"/>
                <w:b/>
                <w:color w:val="000000"/>
                <w:sz w:val="24"/>
              </w:rPr>
              <w:t xml:space="preserve">COMMENTS</w:t>
            </w:r>
            <w:r>
              <w:rPr>
                <w:rFonts w:ascii="Arial" w:hAnsi="Arial" w:eastAsia="Arial" w:cs="Arial"/>
                <w:color w:val="000000"/>
                <w:sz w:val="24"/>
              </w:rPr>
              <w:t xml:space="preserve"> </w:t>
            </w:r>
            <w:r>
              <w:rPr>
                <w:rFonts w:ascii="Arial" w:hAnsi="Arial" w:eastAsia="Arial" w:cs="Arial"/>
              </w:rPr>
            </w:r>
          </w:p>
        </w:tc>
        <w:tc>
          <w:tcPr>
            <w:shd w:val="clear" w:color="f2f2f2" w:fill="f2f2f2"/>
            <w:tcBorders>
              <w:top w:val="single" w:color="000000" w:sz="6" w:space="0"/>
              <w:left w:val="single" w:color="000000" w:sz="4" w:space="0"/>
              <w:bottom w:val="single" w:color="000000" w:sz="4" w:space="0"/>
              <w:right w:val="single" w:color="000000" w:sz="4" w:space="0"/>
            </w:tcBorders>
            <w:tcMar>
              <w:left w:w="0" w:type="dxa"/>
              <w:top w:w="0" w:type="dxa"/>
              <w:right w:w="0" w:type="dxa"/>
              <w:bottom w:w="0" w:type="dxa"/>
            </w:tcMar>
            <w:tcW w:w="1685" w:type="dxa"/>
            <w:vAlign w:val="top"/>
          </w:tcPr>
          <w:p w14:paraId="0A95C358" wp14:textId="77777777">
            <w:pPr>
              <w:pBdr>
                <w:top w:val="none" w:color="000000" w:sz="4" w:space="0"/>
                <w:left w:val="none" w:color="000000" w:sz="4" w:space="0"/>
                <w:bottom w:val="none" w:color="000000" w:sz="4" w:space="0"/>
                <w:right w:val="none" w:color="000000" w:sz="4" w:space="0"/>
              </w:pBdr>
              <w:shd w:val="clear" w:color="f2f2f2" w:fill="f2f2f2"/>
              <w:spacing w:before="0" w:after="0"/>
              <w:ind w:left="0" w:right="0" w:firstLine="0"/>
              <w:jc w:val="center"/>
              <w:rPr>
                <w:rFonts w:ascii="Arial" w:hAnsi="Arial" w:cs="Arial"/>
              </w:rPr>
            </w:pPr>
            <w:r>
              <w:rPr>
                <w:rFonts w:ascii="Arial" w:hAnsi="Arial" w:eastAsia="Arial" w:cs="Arial"/>
                <w:b/>
                <w:color w:val="000000"/>
                <w:sz w:val="24"/>
              </w:rPr>
              <w:t xml:space="preserve">DATE </w:t>
            </w:r>
            <w:r>
              <w:rPr>
                <w:rFonts w:ascii="Arial" w:hAnsi="Arial" w:eastAsia="Arial" w:cs="Arial"/>
                <w:color w:val="000000"/>
                <w:sz w:val="24"/>
              </w:rPr>
              <w:t xml:space="preserve"> </w:t>
            </w:r>
            <w:r>
              <w:rPr>
                <w:rFonts w:ascii="Arial" w:hAnsi="Arial" w:eastAsia="Arial" w:cs="Arial"/>
              </w:rPr>
            </w:r>
          </w:p>
        </w:tc>
        <w:tc>
          <w:tcPr>
            <w:shd w:val="clear" w:color="f2f2f2" w:fill="f2f2f2"/>
            <w:tcBorders>
              <w:top w:val="single" w:color="000000" w:sz="6" w:space="0"/>
              <w:left w:val="single" w:color="000000" w:sz="4" w:space="0"/>
              <w:bottom w:val="single" w:color="000000" w:sz="4" w:space="0"/>
              <w:right w:val="single" w:color="000000" w:sz="6" w:space="0"/>
            </w:tcBorders>
            <w:tcMar>
              <w:left w:w="0" w:type="dxa"/>
              <w:top w:w="0" w:type="dxa"/>
              <w:right w:w="0" w:type="dxa"/>
              <w:bottom w:w="0" w:type="dxa"/>
            </w:tcMar>
            <w:tcW w:w="2275" w:type="dxa"/>
            <w:vAlign w:val="top"/>
          </w:tcPr>
          <w:p w14:paraId="0B3BD9B6" wp14:textId="77777777">
            <w:pPr>
              <w:pBdr>
                <w:top w:val="none" w:color="000000" w:sz="4" w:space="0"/>
                <w:left w:val="none" w:color="000000" w:sz="4" w:space="0"/>
                <w:bottom w:val="none" w:color="000000" w:sz="4" w:space="0"/>
                <w:right w:val="none" w:color="000000" w:sz="4" w:space="0"/>
              </w:pBdr>
              <w:shd w:val="clear" w:color="f2f2f2" w:fill="f2f2f2"/>
              <w:spacing w:before="0" w:after="0"/>
              <w:ind w:left="0" w:right="0" w:firstLine="0"/>
              <w:jc w:val="center"/>
              <w:rPr>
                <w:rFonts w:ascii="Arial" w:hAnsi="Arial" w:cs="Arial"/>
              </w:rPr>
            </w:pPr>
            <w:r>
              <w:rPr>
                <w:rFonts w:ascii="Arial" w:hAnsi="Arial" w:eastAsia="Arial" w:cs="Arial"/>
                <w:b/>
                <w:color w:val="000000"/>
                <w:sz w:val="24"/>
              </w:rPr>
              <w:t xml:space="preserve">Next Review</w:t>
            </w:r>
            <w:r>
              <w:rPr>
                <w:rFonts w:ascii="Arial" w:hAnsi="Arial" w:eastAsia="Arial" w:cs="Arial"/>
                <w:color w:val="000000"/>
                <w:sz w:val="24"/>
              </w:rPr>
              <w:t xml:space="preserve"> </w:t>
            </w:r>
            <w:r>
              <w:rPr>
                <w:rFonts w:ascii="Arial" w:hAnsi="Arial" w:eastAsia="Arial" w:cs="Arial"/>
              </w:rPr>
            </w:r>
          </w:p>
        </w:tc>
      </w:tr>
      <w:tr xmlns:wp14="http://schemas.microsoft.com/office/word/2010/wordml" w14:paraId="71BA6C9A" wp14:textId="77777777">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43" w:type="dxa"/>
            <w:vAlign w:val="top"/>
          </w:tcPr>
          <w:p w14:paraId="3F813763"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Mor Aroeti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4" w:type="dxa"/>
            <w:vAlign w:val="top"/>
          </w:tcPr>
          <w:p w14:paraId="3DDFDA89"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1.0 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96" w:type="dxa"/>
            <w:vAlign w:val="top"/>
          </w:tcPr>
          <w:p w14:paraId="3A4DD39F"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hanging="360"/>
              <w:jc w:val="center"/>
              <w:rPr>
                <w:rFonts w:ascii="Arial" w:hAnsi="Arial" w:cs="Arial"/>
              </w:rPr>
            </w:pPr>
            <w:r>
              <w:rPr>
                <w:rFonts w:ascii="Arial" w:hAnsi="Arial" w:eastAsia="Arial" w:cs="Arial"/>
                <w:color w:val="000000"/>
                <w:sz w:val="24"/>
              </w:rPr>
              <w:t xml:space="preserve">Initial Creation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85" w:type="dxa"/>
            <w:vAlign w:val="top"/>
          </w:tcPr>
          <w:p w14:paraId="6317A26A"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2/27/2026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top"/>
          </w:tcPr>
          <w:p w14:paraId="7DE8659F"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1/15/2027 </w:t>
            </w:r>
            <w:r>
              <w:rPr>
                <w:rFonts w:ascii="Arial" w:hAnsi="Arial" w:eastAsia="Arial" w:cs="Arial"/>
              </w:rPr>
            </w:r>
          </w:p>
        </w:tc>
      </w:tr>
      <w:tr xmlns:wp14="http://schemas.microsoft.com/office/word/2010/wordml" w14:paraId="22F1C431" wp14:textId="77777777">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43" w:type="dxa"/>
            <w:vAlign w:val="top"/>
          </w:tcPr>
          <w:p w14:paraId="06786B5D"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4" w:type="dxa"/>
            <w:vAlign w:val="top"/>
          </w:tcPr>
          <w:p w14:paraId="34F5BDEC"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96" w:type="dxa"/>
            <w:vAlign w:val="top"/>
          </w:tcPr>
          <w:p w14:paraId="6AA1C0DD"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85" w:type="dxa"/>
            <w:vAlign w:val="top"/>
          </w:tcPr>
          <w:p w14:paraId="6077F344"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top"/>
          </w:tcPr>
          <w:p w14:paraId="732DAD67"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r>
      <w:tr xmlns:wp14="http://schemas.microsoft.com/office/word/2010/wordml" w14:paraId="10E05704" wp14:textId="77777777">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43" w:type="dxa"/>
            <w:vAlign w:val="top"/>
          </w:tcPr>
          <w:p w14:paraId="44C101FE"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4" w:type="dxa"/>
            <w:vAlign w:val="top"/>
          </w:tcPr>
          <w:p w14:paraId="2301C0FD"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96" w:type="dxa"/>
            <w:vAlign w:val="top"/>
          </w:tcPr>
          <w:p w14:paraId="24EF30B9"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85" w:type="dxa"/>
            <w:vAlign w:val="top"/>
          </w:tcPr>
          <w:p w14:paraId="2914A499"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top"/>
          </w:tcPr>
          <w:p w14:paraId="7F66BEAD"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r>
      <w:tr xmlns:wp14="http://schemas.microsoft.com/office/word/2010/wordml" w14:paraId="5C79092B" wp14:textId="77777777">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43" w:type="dxa"/>
            <w:vAlign w:val="top"/>
          </w:tcPr>
          <w:p w14:paraId="73E8E3F1"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4" w:type="dxa"/>
            <w:vAlign w:val="top"/>
          </w:tcPr>
          <w:p w14:paraId="40F4A618"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96" w:type="dxa"/>
            <w:vAlign w:val="top"/>
          </w:tcPr>
          <w:p w14:paraId="46701AAC"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85" w:type="dxa"/>
            <w:vAlign w:val="top"/>
          </w:tcPr>
          <w:p w14:paraId="587DE047"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top"/>
          </w:tcPr>
          <w:p w14:paraId="06156E20"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r>
      <w:tr xmlns:wp14="http://schemas.microsoft.com/office/word/2010/wordml" w14:paraId="7A4F2CD0" wp14:textId="77777777">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43" w:type="dxa"/>
            <w:vAlign w:val="top"/>
          </w:tcPr>
          <w:p w14:paraId="469200C6"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54" w:type="dxa"/>
            <w:vAlign w:val="top"/>
          </w:tcPr>
          <w:p w14:paraId="2DC6754A"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96" w:type="dxa"/>
            <w:vAlign w:val="top"/>
          </w:tcPr>
          <w:p w14:paraId="2D710D50"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85" w:type="dxa"/>
            <w:vAlign w:val="top"/>
          </w:tcPr>
          <w:p w14:paraId="6E570CAE"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75" w:type="dxa"/>
            <w:vAlign w:val="top"/>
          </w:tcPr>
          <w:p w14:paraId="229F5146"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4"/>
              </w:rPr>
              <w:t xml:space="preserve"> </w:t>
            </w:r>
            <w:r>
              <w:rPr>
                <w:rFonts w:ascii="Arial" w:hAnsi="Arial" w:eastAsia="Arial" w:cs="Arial"/>
              </w:rPr>
            </w:r>
          </w:p>
        </w:tc>
      </w:tr>
    </w:tbl>
    <w:p xmlns:wp14="http://schemas.microsoft.com/office/word/2010/wordml" w14:paraId="3C0809E2"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rPr>
          <w:rFonts w:ascii="Arial" w:hAnsi="Arial" w:cs="Arial"/>
        </w:rPr>
      </w:pPr>
      <w:r>
        <w:rPr>
          <w:rFonts w:ascii="Arial" w:hAnsi="Arial" w:eastAsia="Arial" w:cs="Arial"/>
          <w:color w:val="000000"/>
          <w:sz w:val="22"/>
          <w:highlight w:val="none"/>
        </w:rPr>
        <w:t xml:space="preserve"> </w:t>
      </w:r>
      <w:r>
        <w:rPr>
          <w:rFonts w:ascii="Arial" w:hAnsi="Arial" w:eastAsia="Arial" w:cs="Arial"/>
        </w:rPr>
      </w:r>
    </w:p>
    <w:p xmlns:wp14="http://schemas.microsoft.com/office/word/2010/wordml" w14:paraId="7BAD4DCA"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rPr>
          <w:rFonts w:ascii="Arial" w:hAnsi="Arial" w:cs="Arial"/>
        </w:rPr>
      </w:pPr>
      <w:r>
        <w:rPr>
          <w:rFonts w:ascii="Arial" w:hAnsi="Arial" w:eastAsia="Arial" w:cs="Arial"/>
          <w:color w:val="000000"/>
          <w:sz w:val="32"/>
          <w:highlight w:val="none"/>
        </w:rPr>
        <w:t xml:space="preserve"> </w:t>
      </w:r>
      <w:r>
        <w:rPr>
          <w:rFonts w:ascii="Arial" w:hAnsi="Arial" w:eastAsia="Arial" w:cs="Arial"/>
        </w:rPr>
      </w:r>
    </w:p>
    <w:p xmlns:wp14="http://schemas.microsoft.com/office/word/2010/wordml" w14:paraId="68497E5F"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rPr>
          <w:rFonts w:ascii="Arial" w:hAnsi="Arial" w:cs="Arial"/>
        </w:rPr>
      </w:pPr>
      <w:r>
        <w:rPr>
          <w:rFonts w:ascii="Arial" w:hAnsi="Arial" w:eastAsia="Arial" w:cs="Arial"/>
          <w:color w:val="000000"/>
          <w:sz w:val="22"/>
          <w:highlight w:val="none"/>
        </w:rPr>
        <w:t xml:space="preserve"> </w:t>
      </w:r>
      <w:r>
        <w:rPr>
          <w:rFonts w:ascii="Arial" w:hAnsi="Arial" w:eastAsia="Arial" w:cs="Arial"/>
        </w:rPr>
      </w:r>
    </w:p>
    <w:p xmlns:wp14="http://schemas.microsoft.com/office/word/2010/wordml" w14:paraId="3431494F"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rPr>
          <w:rFonts w:ascii="Arial" w:hAnsi="Arial" w:cs="Arial"/>
        </w:rPr>
      </w:pPr>
      <w:r>
        <w:rPr>
          <w:rFonts w:ascii="Arial" w:hAnsi="Arial" w:eastAsia="Arial" w:cs="Arial"/>
          <w:color w:val="000000"/>
          <w:sz w:val="22"/>
        </w:rPr>
        <w:t xml:space="preserve">Review and Approvals</w:t>
      </w:r>
      <w:r>
        <w:rPr>
          <w:rFonts w:ascii="Arial" w:hAnsi="Arial" w:eastAsia="Arial" w:cs="Arial"/>
          <w:color w:val="000000"/>
          <w:sz w:val="22"/>
          <w:highlight w:val="none"/>
        </w:rPr>
        <w:t xml:space="preserve"> </w:t>
      </w:r>
      <w:r>
        <w:rPr>
          <w:rFonts w:ascii="Arial" w:hAnsi="Arial" w:eastAsia="Arial" w:cs="Arial"/>
        </w:rPr>
      </w:r>
    </w:p>
    <w:p xmlns:wp14="http://schemas.microsoft.com/office/word/2010/wordml" w14:paraId="26CB9AF5"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rPr>
          <w:rFonts w:ascii="Arial" w:hAnsi="Arial" w:cs="Arial"/>
        </w:rPr>
      </w:pPr>
      <w:r>
        <w:rPr>
          <w:rFonts w:ascii="Arial" w:hAnsi="Arial" w:eastAsia="Arial" w:cs="Arial"/>
          <w:color w:val="000000"/>
          <w:sz w:val="22"/>
          <w:highlight w:val="none"/>
        </w:rPr>
        <w:t xml:space="preserve"> </w:t>
      </w:r>
      <w:r>
        <w:rPr>
          <w:rFonts w:ascii="Arial" w:hAnsi="Arial" w:eastAsia="Arial" w:cs="Arial"/>
        </w:rPr>
      </w:r>
    </w:p>
    <w:tbl>
      <w:tblPr>
        <w:tblStyle w:val="836"/>
        <w:tblW w:w="9061" w:type="dxa"/>
        <w:tblInd w:w="0" w:type="dxa"/>
        <w:tblW w:w="0" w:type="auto"/>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none" w:color="000000" w:themeColor="text1" w:sz="4" w:space="0"/>
          <w:insideV w:val="none" w:color="000000" w:themeColor="text1" w:sz="4" w:space="0"/>
        </w:tblBorders>
        <w:tblLayout w:type="autofit"/>
        <w:tblLook w:val="04A0" w:firstRow="1" w:lastRow="0" w:firstColumn="1" w:lastColumn="0" w:noHBand="0" w:noVBand="1"/>
      </w:tblPr>
      <w:tblGrid>
        <w:gridCol w:w="2316"/>
        <w:gridCol w:w="3103"/>
        <w:gridCol w:w="1821"/>
        <w:gridCol w:w="1821"/>
      </w:tblGrid>
      <w:tr xmlns:wp14="http://schemas.microsoft.com/office/word/2010/wordml" w:rsidTr="0EFB34D2" w14:paraId="31C473E5" wp14:textId="77777777">
        <w:trPr>
          <w:trHeight w:val="285"/>
        </w:trPr>
        <w:tc>
          <w:tcPr>
            <w:cnfStyle w:val="001000000100" w:firstRow="0" w:lastRow="0" w:firstColumn="1" w:lastColumn="0" w:oddVBand="0" w:evenVBand="0" w:oddHBand="0" w:evenHBand="0" w:firstRowFirstColumn="1" w:firstRowLastColumn="0" w:lastRowFirstColumn="0" w:lastRowLastColumn="0"/>
            <w:tcW w:w="2316" w:type="dxa"/>
            <w:shd w:val="clear" w:color="auto" w:fill="D9D9D9" w:themeFill="background1" w:themeFillShade="D9"/>
            <w:tcBorders>
              <w:top w:val="single" w:color="000000" w:sz="6" w:space="0"/>
              <w:left w:val="single" w:color="000000" w:sz="6" w:space="0"/>
              <w:bottom w:val="single" w:color="000000" w:sz="4" w:space="0"/>
              <w:right w:val="single" w:color="000000" w:sz="4" w:space="0"/>
            </w:tcBorders>
            <w:tcMar>
              <w:left w:w="0" w:type="dxa"/>
              <w:top w:w="0" w:type="dxa"/>
              <w:right w:w="0" w:type="dxa"/>
              <w:bottom w:w="0" w:type="dxa"/>
            </w:tcMar>
            <w:tcW w:w="2385" w:type="dxa"/>
            <w:vAlign w:val="top"/>
          </w:tcPr>
          <w:p w14:paraId="02ADB39F" wp14:textId="77777777">
            <w:pPr>
              <w:pBdr>
                <w:top w:val="none" w:color="000000" w:sz="4" w:space="0"/>
                <w:left w:val="none" w:color="000000" w:sz="4" w:space="0"/>
                <w:bottom w:val="none" w:color="000000" w:sz="4" w:space="0"/>
                <w:right w:val="none" w:color="000000" w:sz="4" w:space="0"/>
              </w:pBdr>
              <w:shd w:val="clear" w:color="d9d9d9" w:fill="d9d9d9"/>
              <w:spacing w:before="0" w:after="0"/>
              <w:ind w:left="0" w:right="0" w:firstLine="0"/>
              <w:rPr>
                <w:rFonts w:ascii="Arial" w:hAnsi="Arial" w:cs="Arial"/>
              </w:rPr>
            </w:pPr>
            <w:r>
              <w:rPr>
                <w:rFonts w:ascii="Arial" w:hAnsi="Arial" w:eastAsia="Arial" w:cs="Arial"/>
                <w:b/>
                <w:color w:val="000000"/>
                <w:sz w:val="22"/>
              </w:rPr>
              <w:t xml:space="preserve">NAME  </w:t>
            </w:r>
            <w:r>
              <w:rPr>
                <w:rFonts w:ascii="Arial" w:hAnsi="Arial" w:eastAsia="Arial" w:cs="Arial"/>
                <w:color w:val="000000"/>
                <w:sz w:val="22"/>
              </w:rPr>
              <w:t xml:space="preserve"> </w:t>
            </w:r>
            <w:r>
              <w:rPr>
                <w:rFonts w:ascii="Arial" w:hAnsi="Arial" w:eastAsia="Arial" w:cs="Arial"/>
              </w:rPr>
            </w:r>
          </w:p>
        </w:tc>
        <w:tc>
          <w:tcPr>
            <w:cnfStyle w:val="000000000000" w:firstRow="0" w:lastRow="0" w:firstColumn="0" w:lastColumn="0" w:oddVBand="0" w:evenVBand="0" w:oddHBand="0" w:evenHBand="0" w:firstRowFirstColumn="0" w:firstRowLastColumn="0" w:lastRowFirstColumn="0" w:lastRowLastColumn="0"/>
            <w:tcW w:w="3103" w:type="dxa"/>
            <w:shd w:val="clear" w:color="auto" w:fill="D9D9D9" w:themeFill="background1" w:themeFillShade="D9"/>
            <w:tcBorders>
              <w:top w:val="single" w:color="000000" w:sz="6" w:space="0"/>
              <w:left w:val="single" w:color="000000" w:sz="4" w:space="0"/>
              <w:bottom w:val="single" w:color="000000" w:sz="4" w:space="0"/>
              <w:right w:val="single" w:color="000000" w:sz="4" w:space="0"/>
            </w:tcBorders>
            <w:tcMar>
              <w:left w:w="0" w:type="dxa"/>
              <w:top w:w="0" w:type="dxa"/>
              <w:right w:w="0" w:type="dxa"/>
              <w:bottom w:w="0" w:type="dxa"/>
            </w:tcMar>
            <w:tcW w:w="3195" w:type="dxa"/>
            <w:vAlign w:val="top"/>
          </w:tcPr>
          <w:p w14:paraId="4AB62D91" wp14:textId="77777777">
            <w:pPr>
              <w:pBdr>
                <w:top w:val="none" w:color="000000" w:sz="4" w:space="0"/>
                <w:left w:val="none" w:color="000000" w:sz="4" w:space="0"/>
                <w:bottom w:val="none" w:color="000000" w:sz="4" w:space="0"/>
                <w:right w:val="none" w:color="000000" w:sz="4" w:space="0"/>
              </w:pBdr>
              <w:shd w:val="clear" w:color="d9d9d9" w:fill="d9d9d9"/>
              <w:spacing w:before="0" w:after="0"/>
              <w:ind w:left="0" w:right="0" w:firstLine="0"/>
              <w:rPr>
                <w:rFonts w:ascii="Arial" w:hAnsi="Arial" w:cs="Arial"/>
              </w:rPr>
            </w:pPr>
            <w:r>
              <w:rPr>
                <w:rFonts w:ascii="Arial" w:hAnsi="Arial" w:eastAsia="Arial" w:cs="Arial"/>
                <w:b/>
                <w:color w:val="000000"/>
                <w:sz w:val="22"/>
              </w:rPr>
              <w:t xml:space="preserve">TITLE</w:t>
            </w:r>
            <w:r>
              <w:rPr>
                <w:rFonts w:ascii="Arial" w:hAnsi="Arial" w:eastAsia="Arial" w:cs="Arial"/>
                <w:color w:val="000000"/>
                <w:sz w:val="22"/>
              </w:rPr>
              <w:t xml:space="preserve"> </w:t>
            </w:r>
            <w:r>
              <w:rPr>
                <w:rFonts w:ascii="Arial" w:hAnsi="Arial" w:eastAsia="Arial" w:cs="Arial"/>
              </w:rPr>
            </w:r>
          </w:p>
        </w:tc>
        <w:tc>
          <w:tcPr>
            <w:cnfStyle w:val="000000000000" w:firstRow="0" w:lastRow="0" w:firstColumn="0" w:lastColumn="0" w:oddVBand="0" w:evenVBand="0" w:oddHBand="0" w:evenHBand="0" w:firstRowFirstColumn="0" w:firstRowLastColumn="0" w:lastRowFirstColumn="0" w:lastRowLastColumn="0"/>
            <w:tcW w:w="1821" w:type="dxa"/>
            <w:shd w:val="clear" w:color="auto" w:fill="D9D9D9" w:themeFill="background1" w:themeFillShade="D9"/>
            <w:tcBorders>
              <w:top w:val="single" w:color="000000" w:sz="6" w:space="0"/>
              <w:left w:val="single" w:color="000000" w:sz="4" w:space="0"/>
              <w:bottom w:val="single" w:color="000000" w:sz="4" w:space="0"/>
              <w:right w:val="single" w:color="000000" w:sz="6" w:space="0"/>
            </w:tcBorders>
            <w:tcMar>
              <w:left w:w="0" w:type="dxa"/>
              <w:top w:w="0" w:type="dxa"/>
              <w:right w:w="0" w:type="dxa"/>
              <w:bottom w:w="0" w:type="dxa"/>
            </w:tcMar>
            <w:tcW w:w="1875" w:type="dxa"/>
            <w:vAlign w:val="top"/>
          </w:tcPr>
          <w:p w14:paraId="26471E48" wp14:textId="77777777">
            <w:pPr>
              <w:pBdr>
                <w:top w:val="none" w:color="000000" w:sz="4" w:space="0"/>
                <w:left w:val="none" w:color="000000" w:sz="4" w:space="0"/>
                <w:bottom w:val="none" w:color="000000" w:sz="4" w:space="0"/>
                <w:right w:val="none" w:color="000000" w:sz="4" w:space="0"/>
              </w:pBdr>
              <w:shd w:val="clear" w:color="d9d9d9" w:fill="d9d9d9"/>
              <w:spacing w:before="0" w:after="0"/>
              <w:ind w:left="0" w:right="0" w:firstLine="0"/>
              <w:rPr>
                <w:rFonts w:ascii="Arial" w:hAnsi="Arial" w:cs="Arial"/>
              </w:rPr>
            </w:pPr>
            <w:r>
              <w:rPr>
                <w:rFonts w:ascii="Arial" w:hAnsi="Arial" w:eastAsia="Arial" w:cs="Arial"/>
                <w:b/>
                <w:color w:val="000000"/>
                <w:sz w:val="22"/>
              </w:rPr>
              <w:t xml:space="preserve">DATE</w:t>
            </w:r>
            <w:r>
              <w:rPr>
                <w:rFonts w:ascii="Arial" w:hAnsi="Arial" w:eastAsia="Arial" w:cs="Arial"/>
                <w:color w:val="000000"/>
                <w:sz w:val="22"/>
              </w:rPr>
              <w:t xml:space="preserve"> </w:t>
            </w:r>
            <w:r>
              <w:rPr>
                <w:rFonts w:ascii="Arial" w:hAnsi="Arial" w:eastAsia="Arial" w:cs="Arial"/>
              </w:rPr>
            </w:r>
          </w:p>
        </w:tc>
        <w:tc>
          <w:tcPr>
            <w:cnfStyle w:val="000000000000" w:firstRow="0" w:lastRow="0" w:firstColumn="0" w:lastColumn="0" w:oddVBand="0" w:evenVBand="0" w:oddHBand="0" w:evenHBand="0" w:firstRowFirstColumn="0" w:firstRowLastColumn="0" w:lastRowFirstColumn="0" w:lastRowLastColumn="0"/>
            <w:tcW w:w="1821" w:type="dxa"/>
            <w:shd w:val="clear" w:color="auto" w:fill="D9D9D9" w:themeFill="background1" w:themeFillShade="D9"/>
            <w:tcMar>
              <w:left w:w="0" w:type="dxa"/>
              <w:right w:w="0" w:type="dxa"/>
            </w:tcMar>
            <w:vAlign w:val="top"/>
          </w:tcPr>
          <w:p w:rsidR="277AF447" w:rsidP="0EFB34D2" w:rsidRDefault="277AF447" w14:paraId="2ECA8199" w14:textId="35CA4934">
            <w:pPr>
              <w:pStyle w:val="829"/>
              <w:ind w:firstLine="0"/>
              <w:rPr>
                <w:rFonts w:ascii="Arial" w:hAnsi="Arial" w:eastAsia="Arial" w:cs="Arial"/>
                <w:b w:val="1"/>
                <w:bCs w:val="1"/>
                <w:color w:val="000000" w:themeColor="text1" w:themeTint="FF" w:themeShade="FF"/>
                <w:sz w:val="22"/>
                <w:szCs w:val="22"/>
              </w:rPr>
            </w:pPr>
            <w:r w:rsidRPr="0EFB34D2" w:rsidR="277AF447">
              <w:rPr>
                <w:rFonts w:ascii="Arial" w:hAnsi="Arial" w:eastAsia="Arial" w:cs="Arial"/>
                <w:b w:val="1"/>
                <w:bCs w:val="1"/>
                <w:color w:val="000000" w:themeColor="text1" w:themeTint="FF" w:themeShade="FF"/>
                <w:sz w:val="22"/>
                <w:szCs w:val="22"/>
              </w:rPr>
              <w:t>SIGNATURE</w:t>
            </w:r>
          </w:p>
        </w:tc>
      </w:tr>
      <w:tr xmlns:wp14="http://schemas.microsoft.com/office/word/2010/wordml" w:rsidTr="0EFB34D2" w14:paraId="761E2E40" wp14:textId="77777777">
        <w:trPr>
          <w:trHeight w:val="285"/>
        </w:trPr>
        <w:tc>
          <w:tcPr>
            <w:cnfStyle w:val="001000000000" w:firstRow="0" w:lastRow="0" w:firstColumn="1" w:lastColumn="0" w:oddVBand="0" w:evenVBand="0" w:oddHBand="0" w:evenHBand="0" w:firstRowFirstColumn="0" w:firstRowLastColumn="0" w:lastRowFirstColumn="0" w:lastRowLastColumn="0"/>
            <w:tcW w:w="23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0" w:type="dxa"/>
              <w:top w:w="0" w:type="dxa"/>
              <w:right w:w="0" w:type="dxa"/>
              <w:bottom w:w="0" w:type="dxa"/>
            </w:tcMar>
            <w:tcW w:w="2385" w:type="dxa"/>
            <w:vAlign w:val="center"/>
          </w:tcPr>
          <w:p w14:paraId="1EC8E8F8"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Dekel Yaacov </w:t>
            </w:r>
            <w:r>
              <w:rPr>
                <w:rFonts w:ascii="Arial" w:hAnsi="Arial" w:eastAsia="Arial" w:cs="Arial"/>
              </w:rPr>
            </w:r>
          </w:p>
        </w:tc>
        <w:tc>
          <w:tcPr>
            <w:cnfStyle w:val="000000000000" w:firstRow="0" w:lastRow="0" w:firstColumn="0" w:lastColumn="0" w:oddVBand="0" w:evenVBand="0" w:oddHBand="0" w:evenHBand="0" w:firstRowFirstColumn="0" w:firstRowLastColumn="0" w:lastRowFirstColumn="0" w:lastRowLastColumn="0"/>
            <w:tcW w:w="310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0" w:type="dxa"/>
              <w:top w:w="0" w:type="dxa"/>
              <w:right w:w="0" w:type="dxa"/>
              <w:bottom w:w="0" w:type="dxa"/>
            </w:tcMar>
            <w:tcW w:w="3195" w:type="dxa"/>
            <w:vAlign w:val="center"/>
          </w:tcPr>
          <w:p w14:paraId="0E1B94F2"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rPr>
              <w:t xml:space="preserve">CTO </w:t>
            </w:r>
            <w:r>
              <w:rPr>
                <w:rFonts w:ascii="Arial" w:hAnsi="Arial" w:eastAsia="Arial" w:cs="Arial"/>
              </w:rPr>
            </w:r>
          </w:p>
        </w:tc>
        <w:tc>
          <w:tcPr>
            <w:cnfStyle w:val="000000000000" w:firstRow="0" w:lastRow="0" w:firstColumn="0" w:lastColumn="0" w:oddVBand="0" w:evenVBand="0" w:oddHBand="0" w:evenHBand="0" w:firstRowFirstColumn="0" w:firstRowLastColumn="0" w:lastRowFirstColumn="0" w:lastRowLastColumn="0"/>
            <w:tcW w:w="182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0" w:type="dxa"/>
              <w:top w:w="0" w:type="dxa"/>
              <w:right w:w="0" w:type="dxa"/>
              <w:bottom w:w="0" w:type="dxa"/>
            </w:tcMar>
            <w:tcW w:w="1875" w:type="dxa"/>
            <w:vAlign w:val="center"/>
          </w:tcPr>
          <w:p w14:paraId="0E8D9FAB" wp14:textId="77777777">
            <w:pPr>
              <w:pBdr>
                <w:top w:val="none" w:color="000000" w:sz="4" w:space="0"/>
                <w:left w:val="none" w:color="000000" w:sz="4" w:space="0"/>
                <w:bottom w:val="none" w:color="000000" w:sz="4" w:space="0"/>
                <w:right w:val="none" w:color="000000" w:sz="4" w:space="0"/>
              </w:pBdr>
              <w:shd w:val="clear" w:color="ffffff" w:fill="ffffff"/>
              <w:spacing w:before="0" w:after="0"/>
              <w:ind w:left="30" w:right="0" w:firstLine="0"/>
              <w:jc w:val="center"/>
              <w:rPr>
                <w:rFonts w:ascii="Arial" w:hAnsi="Arial" w:cs="Arial"/>
              </w:rPr>
            </w:pPr>
            <w:r>
              <w:rPr>
                <w:rFonts w:ascii="Arial" w:hAnsi="Arial" w:eastAsia="Arial" w:cs="Arial"/>
                <w:color w:val="000000"/>
                <w:sz w:val="22"/>
              </w:rPr>
              <w:t xml:space="preserve">3/10/2026 </w:t>
            </w:r>
            <w:r>
              <w:rPr>
                <w:rFonts w:ascii="Arial" w:hAnsi="Arial" w:eastAsia="Arial" w:cs="Arial"/>
              </w:rPr>
            </w:r>
          </w:p>
        </w:tc>
        <w:tc>
          <w:tcPr>
            <w:cnfStyle w:val="000000000000" w:firstRow="0" w:lastRow="0" w:firstColumn="0" w:lastColumn="0" w:oddVBand="0" w:evenVBand="0" w:oddHBand="0" w:evenHBand="0" w:firstRowFirstColumn="0" w:firstRowLastColumn="0" w:lastRowFirstColumn="0" w:lastRowLastColumn="0"/>
            <w:tcW w:w="1821" w:type="dxa"/>
            <w:tcBorders>
              <w:top w:val="single" w:color="000000" w:themeColor="text1" w:sz="6"/>
              <w:left w:val="single" w:color="000000" w:themeColor="text1" w:sz="6"/>
              <w:bottom w:val="single" w:color="000000" w:themeColor="text1" w:sz="6"/>
              <w:right w:val="single" w:color="000000" w:themeColor="text1" w:sz="6"/>
            </w:tcBorders>
            <w:tcMar>
              <w:left w:w="0" w:type="dxa"/>
              <w:right w:w="0" w:type="dxa"/>
            </w:tcMar>
            <w:vAlign w:val="center"/>
          </w:tcPr>
          <w:p w:rsidR="5E0265BD" w:rsidP="0EFB34D2" w:rsidRDefault="5E0265BD" w14:paraId="67B49205" w14:textId="1448C874">
            <w:pPr>
              <w:pStyle w:val="829"/>
              <w:ind w:firstLine="0"/>
              <w:jc w:val="center"/>
              <w:rPr>
                <w:rFonts w:ascii="Arial" w:hAnsi="Arial" w:eastAsia="Arial" w:cs="Arial"/>
                <w:color w:val="000000" w:themeColor="text1" w:themeTint="FF" w:themeShade="FF"/>
                <w:sz w:val="22"/>
                <w:szCs w:val="22"/>
              </w:rPr>
            </w:pPr>
            <w:r w:rsidR="5E0265BD">
              <w:drawing>
                <wp:inline xmlns:wp14="http://schemas.microsoft.com/office/word/2010/wordprocessingDrawing" wp14:editId="616C83BC" wp14:anchorId="1F5B77A9">
                  <wp:extent cx="742950" cy="1143000"/>
                  <wp:effectExtent l="0" t="0" r="0" b="0"/>
                  <wp:docPr id="19023191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2319122" name="Picture 1902319122"/>
                          <pic:cNvPicPr/>
                        </pic:nvPicPr>
                        <pic:blipFill>
                          <a:blip xmlns:r="http://schemas.openxmlformats.org/officeDocument/2006/relationships" r:embed="rId1571966379">
                            <a:extLst>
                              <a:ext uri="{28A0092B-C50C-407E-A947-70E740481C1C}">
                                <a14:useLocalDpi xmlns:a14="http://schemas.microsoft.com/office/drawing/2010/main"/>
                              </a:ext>
                            </a:extLst>
                          </a:blip>
                          <a:stretch>
                            <a:fillRect/>
                          </a:stretch>
                        </pic:blipFill>
                        <pic:spPr>
                          <a:xfrm>
                            <a:off x="0" y="0"/>
                            <a:ext cx="742950" cy="1143000"/>
                          </a:xfrm>
                          <a:prstGeom prst="rect">
                            <a:avLst/>
                          </a:prstGeom>
                        </pic:spPr>
                      </pic:pic>
                    </a:graphicData>
                  </a:graphic>
                </wp:inline>
              </w:drawing>
            </w:r>
          </w:p>
        </w:tc>
      </w:tr>
    </w:tbl>
    <w:p xmlns:wp14="http://schemas.microsoft.com/office/word/2010/wordml" w14:paraId="51E4D214" wp14:textId="77777777">
      <w:pPr>
        <w:pBdr>
          <w:top w:val="none" w:color="000000" w:sz="4" w:space="0"/>
          <w:left w:val="none" w:color="000000" w:sz="4" w:space="0"/>
          <w:bottom w:val="none" w:color="000000" w:sz="4" w:space="0"/>
          <w:right w:val="none" w:color="000000" w:sz="4" w:space="0"/>
        </w:pBdr>
        <w:shd w:val="clear" w:color="ffffff" w:fill="ffffff"/>
        <w:spacing w:before="240" w:after="0"/>
        <w:ind w:left="420" w:right="0" w:hanging="420"/>
        <w:rPr>
          <w:rFonts w:ascii="Arial" w:hAnsi="Arial" w:cs="Arial"/>
        </w:rPr>
      </w:pPr>
      <w:r>
        <w:rPr>
          <w:rFonts w:ascii="Arial" w:hAnsi="Arial" w:eastAsia="Arial" w:cs="Arial"/>
          <w:color w:val="000000"/>
          <w:sz w:val="36"/>
          <w:highlight w:val="none"/>
        </w:rPr>
        <w:t xml:space="preserve"> </w:t>
      </w:r>
      <w:r>
        <w:rPr>
          <w:rFonts w:ascii="Arial" w:hAnsi="Arial" w:eastAsia="Arial" w:cs="Arial"/>
        </w:rPr>
      </w:r>
    </w:p>
    <w:p xmlns:wp14="http://schemas.microsoft.com/office/word/2010/wordml" w14:paraId="4AFEB92B"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highlight w:val="none"/>
        </w:rPr>
        <w:t xml:space="preserve"> </w:t>
      </w:r>
      <w:r>
        <w:rPr>
          <w:rFonts w:ascii="Arial" w:hAnsi="Arial" w:eastAsia="Arial" w:cs="Arial"/>
        </w:rPr>
      </w:r>
    </w:p>
    <w:p xmlns:wp14="http://schemas.microsoft.com/office/word/2010/wordml" w14:paraId="56546B9A" wp14:textId="77777777">
      <w:pPr>
        <w:pBdr>
          <w:top w:val="none" w:color="000000" w:sz="4" w:space="0"/>
          <w:left w:val="none" w:color="000000" w:sz="4" w:space="0"/>
          <w:bottom w:val="none" w:color="000000" w:sz="4" w:space="0"/>
          <w:right w:val="none" w:color="000000" w:sz="4" w:space="0"/>
        </w:pBdr>
        <w:shd w:val="clear" w:color="ffffff" w:fill="ffffff"/>
        <w:spacing w:before="0" w:after="0"/>
        <w:ind w:left="0" w:right="0" w:firstLine="0"/>
        <w:jc w:val="center"/>
        <w:rPr>
          <w:rFonts w:ascii="Arial" w:hAnsi="Arial" w:cs="Arial"/>
        </w:rPr>
      </w:pPr>
      <w:r>
        <w:rPr>
          <w:rFonts w:ascii="Arial" w:hAnsi="Arial" w:eastAsia="Arial" w:cs="Arial"/>
          <w:color w:val="000000"/>
          <w:sz w:val="24"/>
          <w:highlight w:val="none"/>
        </w:rPr>
        <w:t xml:space="preserve"> </w:t>
      </w:r>
      <w:r>
        <w:rPr>
          <w:rFonts w:ascii="Arial" w:hAnsi="Arial" w:eastAsia="Arial" w:cs="Arial"/>
        </w:rPr>
      </w:r>
    </w:p>
    <w:p xmlns:wp14="http://schemas.microsoft.com/office/word/2010/wordml" w14:paraId="2CED8988" wp14:textId="77777777">
      <w:pPr>
        <w:pStyle w:val="832"/>
        <w:numPr>
          <w:ilvl w:val="0"/>
          <w:numId w:val="0"/>
        </w:num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lang w:val="en-US"/>
        </w:rPr>
        <w:br w:type="page" w:clear="all"/>
      </w:r>
      <w:r>
        <w:rPr>
          <w:rFonts w:ascii="Arial" w:hAnsi="Arial" w:eastAsia="Arial" w:cs="Arial"/>
          <w:b/>
          <w:color w:val="000000"/>
          <w:sz w:val="28"/>
        </w:rPr>
        <w:t xml:space="preserve">1. Purpose, Scope, and Users</w:t>
      </w:r>
      <w:r>
        <w:rPr>
          <w:rFonts w:ascii="Arial" w:hAnsi="Arial" w:eastAsia="Arial" w:cs="Arial"/>
        </w:rPr>
      </w:r>
    </w:p>
    <w:p xmlns:wp14="http://schemas.microsoft.com/office/word/2010/wordml" w14:paraId="6F650DBF"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The purpose of this document is to establish rigid operational rules to ensure that Personally Identifiable Information (PII) and user data privacy are protected at an appropriate level within cloud environments.</w:t>
      </w:r>
      <w:r>
        <w:rPr>
          <w:rFonts w:ascii="Arial" w:hAnsi="Arial" w:eastAsia="Arial" w:cs="Arial"/>
        </w:rPr>
      </w:r>
    </w:p>
    <w:p xmlns:wp14="http://schemas.microsoft.com/office/word/2010/wordml" w14:paraId="24DF69CE"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This policy applies universally to all public cloud infrastructure services utilized by enSights.ai (including our primary AWS infrastructure), as well as to any third-party SaaS providers or sub-processors that handle data under the operational responsibi</w:t>
      </w:r>
      <w:r>
        <w:rPr>
          <w:rFonts w:ascii="Arial" w:hAnsi="Arial" w:eastAsia="Arial" w:cs="Arial"/>
          <w:color w:val="000000"/>
          <w:sz w:val="24"/>
        </w:rPr>
        <w:t xml:space="preserve">lity of enSights.ai. The intended users of this document are the executive management team, DevOps engineers, system administrators, and any internal personnel managing cloud infrastructure vendor relationships.</w:t>
      </w:r>
      <w:r>
        <w:rPr>
          <w:rFonts w:ascii="Arial" w:hAnsi="Arial" w:eastAsia="Arial" w:cs="Arial"/>
        </w:rPr>
      </w:r>
    </w:p>
    <w:p xmlns:wp14="http://schemas.microsoft.com/office/word/2010/wordml" w14:paraId="03910390" wp14:textId="77777777">
      <w:pPr>
        <w:pStyle w:val="832"/>
        <w:numPr>
          <w:ilvl w:val="0"/>
          <w:numId w:val="0"/>
        </w:num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8"/>
        </w:rPr>
        <w:t xml:space="preserve">2. Reference Documents</w:t>
      </w:r>
      <w:r>
        <w:rPr>
          <w:rFonts w:ascii="Arial" w:hAnsi="Arial" w:eastAsia="Arial" w:cs="Arial"/>
        </w:rPr>
      </w:r>
    </w:p>
    <w:p xmlns:wp14="http://schemas.microsoft.com/office/word/2010/wordml" w14:paraId="5B58A9F8"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ISO/IEC 27001 Standard:</w:t>
      </w:r>
      <w:r>
        <w:rPr>
          <w:rFonts w:ascii="Arial" w:hAnsi="Arial" w:eastAsia="Arial" w:cs="Arial"/>
          <w:color w:val="000000"/>
          <w:sz w:val="24"/>
        </w:rPr>
        <w:t xml:space="preserve"> Clauses regarding information security risk management and access control frameworks.</w:t>
      </w:r>
      <w:r>
        <w:rPr>
          <w:rFonts w:ascii="Arial" w:hAnsi="Arial" w:eastAsia="Arial" w:cs="Arial"/>
        </w:rPr>
      </w:r>
    </w:p>
    <w:p xmlns:wp14="http://schemas.microsoft.com/office/word/2010/wordml" w14:paraId="0C4715B5"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ISO/IEC 27017 Standard:</w:t>
      </w:r>
      <w:r>
        <w:rPr>
          <w:rFonts w:ascii="Arial" w:hAnsi="Arial" w:eastAsia="Arial" w:cs="Arial"/>
          <w:color w:val="000000"/>
          <w:sz w:val="24"/>
        </w:rPr>
        <w:t xml:space="preserve"> Information security controls applicable to the provision and use of cloud services.</w:t>
      </w:r>
      <w:r>
        <w:rPr>
          <w:rFonts w:ascii="Arial" w:hAnsi="Arial" w:eastAsia="Arial" w:cs="Arial"/>
        </w:rPr>
      </w:r>
    </w:p>
    <w:p xmlns:wp14="http://schemas.microsoft.com/office/word/2010/wordml" w14:paraId="0BA31814"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ISO/IEC 27018 Standard:</w:t>
      </w:r>
      <w:r>
        <w:rPr>
          <w:rFonts w:ascii="Arial" w:hAnsi="Arial" w:eastAsia="Arial" w:cs="Arial"/>
          <w:color w:val="000000"/>
          <w:sz w:val="24"/>
        </w:rPr>
        <w:t xml:space="preserve"> Code of practice for protection of PII in public clouds acting as PII processors.</w:t>
      </w:r>
      <w:r>
        <w:rPr>
          <w:rFonts w:ascii="Arial" w:hAnsi="Arial" w:eastAsia="Arial" w:cs="Arial"/>
        </w:rPr>
      </w:r>
    </w:p>
    <w:p xmlns:wp14="http://schemas.microsoft.com/office/word/2010/wordml" w14:paraId="38B62B7E"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enSights Information Security Policy</w:t>
      </w:r>
      <w:r>
        <w:rPr>
          <w:rFonts w:ascii="Arial" w:hAnsi="Arial" w:eastAsia="Arial" w:cs="Arial"/>
        </w:rPr>
      </w:r>
    </w:p>
    <w:p xmlns:wp14="http://schemas.microsoft.com/office/word/2010/wordml" w14:paraId="5F317BD8"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enSights Incident Management Procedure</w:t>
      </w:r>
      <w:r>
        <w:rPr>
          <w:rFonts w:ascii="Arial" w:hAnsi="Arial" w:eastAsia="Arial" w:cs="Arial"/>
        </w:rPr>
      </w:r>
    </w:p>
    <w:p xmlns:wp14="http://schemas.microsoft.com/office/word/2010/wordml" w14:paraId="2DCEE494"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enSights Data Retention &amp; Disposal Policy</w:t>
      </w:r>
      <w:r>
        <w:rPr>
          <w:rFonts w:ascii="Arial" w:hAnsi="Arial" w:eastAsia="Arial" w:cs="Arial"/>
        </w:rPr>
      </w:r>
    </w:p>
    <w:p xmlns:wp14="http://schemas.microsoft.com/office/word/2010/wordml" w14:paraId="40912264" wp14:textId="77777777">
      <w:pPr>
        <w:pStyle w:val="832"/>
        <w:numPr>
          <w:ilvl w:val="0"/>
          <w:numId w:val="0"/>
        </w:num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8"/>
        </w:rPr>
        <w:t xml:space="preserve">3. Basic PII Terminology</w:t>
      </w:r>
      <w:r>
        <w:rPr>
          <w:rFonts w:ascii="Arial" w:hAnsi="Arial" w:eastAsia="Arial" w:cs="Arial"/>
        </w:rPr>
      </w:r>
    </w:p>
    <w:p xmlns:wp14="http://schemas.microsoft.com/office/word/2010/wordml" w14:paraId="43C4445D"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Personally Identifiable Information (PII):</w:t>
      </w:r>
      <w:r>
        <w:rPr>
          <w:rFonts w:ascii="Arial" w:hAnsi="Arial" w:eastAsia="Arial" w:cs="Arial"/>
          <w:color w:val="000000"/>
          <w:sz w:val="24"/>
        </w:rPr>
        <w:t xml:space="preserve"> Any information that, by means of direct use or correlation with secondary datasets, can be utilized to uniquely identify a natural person.</w:t>
      </w:r>
      <w:r>
        <w:rPr>
          <w:rFonts w:ascii="Arial" w:hAnsi="Arial" w:eastAsia="Arial" w:cs="Arial"/>
        </w:rPr>
      </w:r>
    </w:p>
    <w:p xmlns:wp14="http://schemas.microsoft.com/office/word/2010/wordml" w14:paraId="5545BFAC"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PII Principal:</w:t>
      </w:r>
      <w:r>
        <w:rPr>
          <w:rFonts w:ascii="Arial" w:hAnsi="Arial" w:eastAsia="Arial" w:cs="Arial"/>
          <w:color w:val="000000"/>
          <w:sz w:val="24"/>
        </w:rPr>
        <w:t xml:space="preserve"> The individual natural person to whom the PII refers (e.g., an individual user or platform administrator).</w:t>
      </w:r>
      <w:r>
        <w:rPr>
          <w:rFonts w:ascii="Arial" w:hAnsi="Arial" w:eastAsia="Arial" w:cs="Arial"/>
        </w:rPr>
      </w:r>
    </w:p>
    <w:p xmlns:wp14="http://schemas.microsoft.com/office/word/2010/wordml" w14:paraId="2364CA6B"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PII Controller:</w:t>
      </w:r>
      <w:r>
        <w:rPr>
          <w:rFonts w:ascii="Arial" w:hAnsi="Arial" w:eastAsia="Arial" w:cs="Arial"/>
          <w:color w:val="000000"/>
          <w:sz w:val="24"/>
        </w:rPr>
        <w:t xml:space="preserve"> The entity that determines the purposes and means of processing personal data (enSights' B2B customers managing solar energy assets).</w:t>
      </w:r>
      <w:r>
        <w:rPr>
          <w:rFonts w:ascii="Arial" w:hAnsi="Arial" w:eastAsia="Arial" w:cs="Arial"/>
        </w:rPr>
      </w:r>
    </w:p>
    <w:p xmlns:wp14="http://schemas.microsoft.com/office/word/2010/wordml" w14:paraId="3D984A97"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PII Processor:</w:t>
      </w:r>
      <w:r>
        <w:rPr>
          <w:rFonts w:ascii="Arial" w:hAnsi="Arial" w:eastAsia="Arial" w:cs="Arial"/>
          <w:color w:val="000000"/>
          <w:sz w:val="24"/>
        </w:rPr>
        <w:t xml:space="preserve"> The entity processing personal data on behalf of and under the explicit instructions of the PII Controller (enSights.ai platform).</w:t>
      </w:r>
      <w:r>
        <w:rPr>
          <w:rFonts w:ascii="Arial" w:hAnsi="Arial" w:eastAsia="Arial" w:cs="Arial"/>
        </w:rPr>
      </w:r>
    </w:p>
    <w:p xmlns:wp14="http://schemas.microsoft.com/office/word/2010/wordml" w14:paraId="05AB5B36"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Public Cloud Service Provider:</w:t>
      </w:r>
      <w:r>
        <w:rPr>
          <w:rFonts w:ascii="Arial" w:hAnsi="Arial" w:eastAsia="Arial" w:cs="Arial"/>
          <w:color w:val="000000"/>
          <w:sz w:val="24"/>
        </w:rPr>
        <w:t xml:space="preserve"> The third-party entity making cloud infrastructure resources available to the market (AWS).</w:t>
      </w:r>
      <w:r>
        <w:rPr>
          <w:rFonts w:ascii="Arial" w:hAnsi="Arial" w:eastAsia="Arial" w:cs="Arial"/>
        </w:rPr>
      </w:r>
    </w:p>
    <w:p xmlns:wp14="http://schemas.microsoft.com/office/word/2010/wordml" w14:paraId="181C9840" wp14:textId="77777777">
      <w:pPr>
        <w:pStyle w:val="832"/>
        <w:numPr>
          <w:ilvl w:val="0"/>
          <w:numId w:val="0"/>
        </w:num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8"/>
        </w:rPr>
        <w:t xml:space="preserve">4. Protection of Personally Identifiable Information in Cloud Environments</w:t>
      </w:r>
      <w:r>
        <w:rPr>
          <w:rFonts w:ascii="Arial" w:hAnsi="Arial" w:eastAsia="Arial" w:cs="Arial"/>
        </w:rPr>
      </w:r>
    </w:p>
    <w:p xmlns:wp14="http://schemas.microsoft.com/office/word/2010/wordml" w14:paraId="0F38F525"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The Chief Information Security Officer (CISO) is directly responsible for coordinating, auditing, and reviewing all corporate activities to guarantee the consistent application of this policy.</w:t>
      </w:r>
      <w:r>
        <w:rPr>
          <w:rFonts w:ascii="Arial" w:hAnsi="Arial" w:eastAsia="Arial" w:cs="Arial"/>
        </w:rPr>
      </w:r>
    </w:p>
    <w:p xmlns:wp14="http://schemas.microsoft.com/office/word/2010/wordml" w14:paraId="070AA020" wp14:textId="77777777">
      <w:pPr>
        <w:pStyle w:val="142"/>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4"/>
        </w:rPr>
        <w:t xml:space="preserve">4.1 Information Collection, Use, Sharing, and Disclosure</w:t>
      </w:r>
      <w:r>
        <w:rPr>
          <w:rFonts w:ascii="Arial" w:hAnsi="Arial" w:eastAsia="Arial" w:cs="Arial"/>
        </w:rPr>
      </w:r>
    </w:p>
    <w:p xmlns:wp14="http://schemas.microsoft.com/office/word/2010/wordml" w14:paraId="1CAD3429"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4.1.1 Information Collection</w:t>
      </w:r>
      <w:r>
        <w:rPr>
          <w:rFonts w:ascii="Arial" w:hAnsi="Arial" w:eastAsia="Arial" w:cs="Arial"/>
        </w:rPr>
      </w:r>
    </w:p>
    <w:p xmlns:wp14="http://schemas.microsoft.com/office/word/2010/wordml" w14:paraId="7341EBD1"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To execute core business operations, deliver solar analytics, and fulfill contractual commitments, enSights.ai strictly enforces a data minimization framework. The cloud platform is authorized to collect only the following baseline business PII elements ne</w:t>
      </w:r>
      <w:r>
        <w:rPr>
          <w:rFonts w:ascii="Arial" w:hAnsi="Arial" w:eastAsia="Arial" w:cs="Arial"/>
          <w:color w:val="000000"/>
          <w:sz w:val="24"/>
        </w:rPr>
        <w:t xml:space="preserve">cessary for account authentication and service delivery:</w:t>
      </w:r>
      <w:r>
        <w:rPr>
          <w:rFonts w:ascii="Arial" w:hAnsi="Arial" w:eastAsia="Arial" w:cs="Arial"/>
        </w:rPr>
      </w:r>
    </w:p>
    <w:p xmlns:wp14="http://schemas.microsoft.com/office/word/2010/wordml" w14:paraId="1D7F06E5"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First name and last name of enterprise platform users.</w:t>
      </w:r>
      <w:r>
        <w:rPr>
          <w:rFonts w:ascii="Arial" w:hAnsi="Arial" w:eastAsia="Arial" w:cs="Arial"/>
        </w:rPr>
      </w:r>
    </w:p>
    <w:p xmlns:wp14="http://schemas.microsoft.com/office/word/2010/wordml" w14:paraId="70A16D3D"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Corporate business email addresses.</w:t>
      </w:r>
      <w:r>
        <w:rPr>
          <w:rFonts w:ascii="Arial" w:hAnsi="Arial" w:eastAsia="Arial" w:cs="Arial"/>
        </w:rPr>
      </w:r>
    </w:p>
    <w:p xmlns:wp14="http://schemas.microsoft.com/office/word/2010/wordml" w14:paraId="2F14EB85"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Business telephone numbers (utilized strictly for system alerts or multi-factor authentication setup).</w:t>
      </w:r>
      <w:r>
        <w:rPr>
          <w:rFonts w:ascii="Arial" w:hAnsi="Arial" w:eastAsia="Arial" w:cs="Arial"/>
        </w:rPr>
      </w:r>
    </w:p>
    <w:p xmlns:wp14="http://schemas.microsoft.com/office/word/2010/wordml" w14:paraId="2FE66FE0"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Internet Protocol (IP) addresses and transactional system logs captured for security monitoring and audit trail maintenance.</w:t>
      </w:r>
      <w:r>
        <w:rPr>
          <w:rFonts w:ascii="Arial" w:hAnsi="Arial" w:eastAsia="Arial" w:cs="Arial"/>
        </w:rPr>
      </w:r>
    </w:p>
    <w:p xmlns:wp14="http://schemas.microsoft.com/office/word/2010/wordml" w14:paraId="07D9BC0E"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Explicit Exclusion:</w:t>
      </w:r>
      <w:r>
        <w:rPr>
          <w:rFonts w:ascii="Arial" w:hAnsi="Arial" w:eastAsia="Arial" w:cs="Arial"/>
          <w:color w:val="000000"/>
          <w:sz w:val="24"/>
        </w:rPr>
        <w:t xml:space="preserve"> enSights.ai does not collect, process, or store sensitive personal data, including consumer financial details, credit card numbers, national identification numbers, or medical records.</w:t>
      </w:r>
      <w:r>
        <w:rPr>
          <w:rFonts w:ascii="Arial" w:hAnsi="Arial" w:eastAsia="Arial" w:cs="Arial"/>
        </w:rPr>
      </w:r>
    </w:p>
    <w:p xmlns:wp14="http://schemas.microsoft.com/office/word/2010/wordml" w14:paraId="444432D8"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4.1.2 Information Use and Sharing</w:t>
      </w:r>
      <w:r>
        <w:rPr>
          <w:rFonts w:ascii="Arial" w:hAnsi="Arial" w:eastAsia="Arial" w:cs="Arial"/>
        </w:rPr>
      </w:r>
    </w:p>
    <w:p xmlns:wp14="http://schemas.microsoft.com/office/word/2010/wordml" w14:paraId="5EA5263A"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The CISO ensures that PII ingested by our cloud infrastructure is utilized exclusively for the following operational vectors:</w:t>
      </w:r>
      <w:r>
        <w:rPr>
          <w:rFonts w:ascii="Arial" w:hAnsi="Arial" w:eastAsia="Arial" w:cs="Arial"/>
        </w:rPr>
      </w:r>
    </w:p>
    <w:p xmlns:wp14="http://schemas.microsoft.com/office/word/2010/wordml" w14:paraId="027B6031"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Providing real-time solar energy production monitoring, device telemetry tracking, and performance analytics.</w:t>
      </w:r>
      <w:r>
        <w:rPr>
          <w:rFonts w:ascii="Arial" w:hAnsi="Arial" w:eastAsia="Arial" w:cs="Arial"/>
        </w:rPr>
      </w:r>
    </w:p>
    <w:p xmlns:wp14="http://schemas.microsoft.com/office/word/2010/wordml" w14:paraId="339B2DDE"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Executing automated system notifications or technical support workflows explicitly requested by the customer.</w:t>
      </w:r>
      <w:r>
        <w:rPr>
          <w:rFonts w:ascii="Arial" w:hAnsi="Arial" w:eastAsia="Arial" w:cs="Arial"/>
        </w:rPr>
      </w:r>
    </w:p>
    <w:p xmlns:wp14="http://schemas.microsoft.com/office/word/2010/wordml" w14:paraId="189DC052"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Training internal AI and optimization models using aggregated, entirely anonymized technical parameters from which all personal identifiers have been systematically stripped.</w:t>
      </w:r>
      <w:r>
        <w:rPr>
          <w:rFonts w:ascii="Arial" w:hAnsi="Arial" w:eastAsia="Arial" w:cs="Arial"/>
        </w:rPr>
      </w:r>
    </w:p>
    <w:p xmlns:wp14="http://schemas.microsoft.com/office/word/2010/wordml" w14:paraId="7212DAB2"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Direct Marketing Constraint:</w:t>
      </w:r>
      <w:r>
        <w:rPr>
          <w:rFonts w:ascii="Arial" w:hAnsi="Arial" w:eastAsia="Arial" w:cs="Arial"/>
          <w:color w:val="000000"/>
          <w:sz w:val="24"/>
        </w:rPr>
        <w:t xml:space="preserve"> enSights.ai will never supply, lease, or sell platform PII to third-party entities for marketing, profiling, or advertising campaigns. PII sharing is restricted solely to our core infrastructure provider (AWS) to facilitate secure hosting.</w:t>
      </w:r>
      <w:r>
        <w:rPr>
          <w:rFonts w:ascii="Arial" w:hAnsi="Arial" w:eastAsia="Arial" w:cs="Arial"/>
        </w:rPr>
      </w:r>
    </w:p>
    <w:p xmlns:wp14="http://schemas.microsoft.com/office/word/2010/wordml" w14:paraId="1D18EDEF"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4.1.3 Information Disclosure</w:t>
      </w:r>
      <w:r>
        <w:rPr>
          <w:rFonts w:ascii="Arial" w:hAnsi="Arial" w:eastAsia="Arial" w:cs="Arial"/>
        </w:rPr>
      </w:r>
    </w:p>
    <w:p xmlns:wp14="http://schemas.microsoft.com/office/word/2010/wordml" w14:paraId="519C0A7D"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Disclosure of platform PII outside standard runtime bounds is restricted to the following distinct entities:</w:t>
      </w:r>
      <w:r>
        <w:rPr>
          <w:rFonts w:ascii="Arial" w:hAnsi="Arial" w:eastAsia="Arial" w:cs="Arial"/>
        </w:rPr>
      </w:r>
    </w:p>
    <w:p xmlns:wp14="http://schemas.microsoft.com/office/word/2010/wordml" w14:paraId="729B397C"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Fully vetted enSights.ai employees and authorized contractors who require system access under explicit non-disclosure agreements (NDAs) to perform engineering or maintenance duties.</w:t>
      </w:r>
      <w:r>
        <w:rPr>
          <w:rFonts w:ascii="Arial" w:hAnsi="Arial" w:eastAsia="Arial" w:cs="Arial"/>
        </w:rPr>
      </w:r>
    </w:p>
    <w:p xmlns:wp14="http://schemas.microsoft.com/office/word/2010/wordml" w14:paraId="2663180A"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Law enforcement or statutory regulatory authorities, strictly upon receipt of a legally binding, authenticated judicial warrant, and provided that notification to the customer is not legally barred by the issuing court.</w:t>
      </w:r>
      <w:r>
        <w:rPr>
          <w:rFonts w:ascii="Arial" w:hAnsi="Arial" w:eastAsia="Arial" w:cs="Arial"/>
        </w:rPr>
      </w:r>
    </w:p>
    <w:p xmlns:wp14="http://schemas.microsoft.com/office/word/2010/wordml" w14:paraId="2ED022F4"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In the event that an unauthorized disclosure occurs via a security incident, notification workflows targeting affected PII Controllers will be initiated immediately in alignment with the corporate Incident Management Procedure.</w:t>
      </w:r>
      <w:r>
        <w:rPr>
          <w:rFonts w:ascii="Arial" w:hAnsi="Arial" w:eastAsia="Arial" w:cs="Arial"/>
        </w:rPr>
      </w:r>
    </w:p>
    <w:p xmlns:wp14="http://schemas.microsoft.com/office/word/2010/wordml" w14:paraId="523BC2B5"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All out-of-band data disclosures must be formally documented by the CISO in the </w:t>
      </w:r>
      <w:r>
        <w:rPr>
          <w:rFonts w:ascii="Arial" w:hAnsi="Arial" w:eastAsia="Arial" w:cs="Arial"/>
          <w:i/>
          <w:color w:val="000000"/>
          <w:sz w:val="24"/>
        </w:rPr>
        <w:t xml:space="preserve">Registry of PII Disclosure</w:t>
      </w:r>
      <w:r>
        <w:rPr>
          <w:rFonts w:ascii="Arial" w:hAnsi="Arial" w:eastAsia="Arial" w:cs="Arial"/>
          <w:color w:val="000000"/>
          <w:sz w:val="24"/>
        </w:rPr>
        <w:t xml:space="preserve">, detailing the precise scope of data transmitted, the receiving party, the authorizing official, and the underlying statutory obligation.</w:t>
      </w:r>
      <w:r>
        <w:rPr>
          <w:rFonts w:ascii="Arial" w:hAnsi="Arial" w:eastAsia="Arial" w:cs="Arial"/>
        </w:rPr>
      </w:r>
    </w:p>
    <w:p xmlns:wp14="http://schemas.microsoft.com/office/word/2010/wordml" w14:paraId="30FDF398" wp14:textId="77777777">
      <w:pPr>
        <w:pStyle w:val="142"/>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4"/>
        </w:rPr>
        <w:t xml:space="preserve">4.2 PII Principal Access and Control Over Information</w:t>
      </w:r>
      <w:r>
        <w:rPr>
          <w:rFonts w:ascii="Arial" w:hAnsi="Arial" w:eastAsia="Arial" w:cs="Arial"/>
        </w:rPr>
      </w:r>
    </w:p>
    <w:p xmlns:wp14="http://schemas.microsoft.com/office/word/2010/wordml" w14:paraId="7EDD7F38"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The enSights.ai architecture enforces localized mechanics enabling customers and PII principals to audit and control their profile parameters:</w:t>
      </w:r>
      <w:r>
        <w:rPr>
          <w:rFonts w:ascii="Arial" w:hAnsi="Arial" w:eastAsia="Arial" w:cs="Arial"/>
        </w:rPr>
      </w:r>
    </w:p>
    <w:p xmlns:wp14="http://schemas.microsoft.com/office/word/2010/wordml" w14:paraId="64463D54"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Provisioning of distinct user authentication tokens ensuring data viewing rights are restricted to authorized organizational boundaries.</w:t>
      </w:r>
      <w:r>
        <w:rPr>
          <w:rFonts w:ascii="Arial" w:hAnsi="Arial" w:eastAsia="Arial" w:cs="Arial"/>
        </w:rPr>
      </w:r>
    </w:p>
    <w:p xmlns:wp14="http://schemas.microsoft.com/office/word/2010/wordml" w14:paraId="0EDBA728"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Direct configuration parameters allowing corporate administrators to update, correct, or expunge user accounts and related metadata through the administrative portal interface.</w:t>
      </w:r>
      <w:r>
        <w:rPr>
          <w:rFonts w:ascii="Arial" w:hAnsi="Arial" w:eastAsia="Arial" w:cs="Arial"/>
        </w:rPr>
      </w:r>
    </w:p>
    <w:p xmlns:wp14="http://schemas.microsoft.com/office/word/2010/wordml" w14:paraId="44DE695C" wp14:textId="77777777">
      <w:pPr>
        <w:pStyle w:val="142"/>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4"/>
        </w:rPr>
        <w:t xml:space="preserve">4.3 Information Location, Storage, Transfer, and Access</w:t>
      </w:r>
      <w:r>
        <w:rPr>
          <w:rFonts w:ascii="Arial" w:hAnsi="Arial" w:eastAsia="Arial" w:cs="Arial"/>
        </w:rPr>
      </w:r>
    </w:p>
    <w:p xmlns:wp14="http://schemas.microsoft.com/office/word/2010/wordml" w14:paraId="3A1211E0"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4.3.1 Information Location</w:t>
      </w:r>
      <w:r>
        <w:rPr>
          <w:rFonts w:ascii="Arial" w:hAnsi="Arial" w:eastAsia="Arial" w:cs="Arial"/>
        </w:rPr>
      </w:r>
    </w:p>
    <w:p xmlns:wp14="http://schemas.microsoft.com/office/word/2010/wordml" w14:paraId="6A190429"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All customer production datasets and baseline PII are deployed, hosted, and backed up exclusively within secured AWS availability zones, bounded by the geographic location parameters specified in active customer Master Service Agreements (MSAs).</w:t>
      </w:r>
      <w:r>
        <w:rPr>
          <w:rFonts w:ascii="Arial" w:hAnsi="Arial" w:eastAsia="Arial" w:cs="Arial"/>
        </w:rPr>
      </w:r>
    </w:p>
    <w:p xmlns:wp14="http://schemas.microsoft.com/office/word/2010/wordml" w14:paraId="1741198E"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4.3.2 Information Storage</w:t>
      </w:r>
      <w:r>
        <w:rPr>
          <w:rFonts w:ascii="Arial" w:hAnsi="Arial" w:eastAsia="Arial" w:cs="Arial"/>
        </w:rPr>
      </w:r>
    </w:p>
    <w:p xmlns:wp14="http://schemas.microsoft.com/office/word/2010/wordml" w14:paraId="7FFB2C05"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To maintain logical segregation and cryptographic integrity, all data storage volumes, cloud object storage buckets, and relational databases hosting active PII within the AWS perimeter must utilize automated encryption-at-rest leveraging the AES-256 stand</w:t>
      </w:r>
      <w:r>
        <w:rPr>
          <w:rFonts w:ascii="Arial" w:hAnsi="Arial" w:eastAsia="Arial" w:cs="Arial"/>
          <w:color w:val="000000"/>
          <w:sz w:val="24"/>
        </w:rPr>
        <w:t xml:space="preserve">ard. The use of unencrypted volumes for production data hosting is strictly prohibited. The storage or manual distribution of PII via physical paper printouts or local unencrypted media drives is banned across all corporate offices.</w:t>
      </w:r>
      <w:r>
        <w:rPr>
          <w:rFonts w:ascii="Arial" w:hAnsi="Arial" w:eastAsia="Arial" w:cs="Arial"/>
        </w:rPr>
      </w:r>
    </w:p>
    <w:p xmlns:wp14="http://schemas.microsoft.com/office/word/2010/wordml" w14:paraId="443F7D59"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4.3.3 Information Transfer Over Public Networks</w:t>
      </w:r>
      <w:r>
        <w:rPr>
          <w:rFonts w:ascii="Arial" w:hAnsi="Arial" w:eastAsia="Arial" w:cs="Arial"/>
        </w:rPr>
      </w:r>
    </w:p>
    <w:p xmlns:wp14="http://schemas.microsoft.com/office/word/2010/wordml" w14:paraId="08843B66"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Any transit of PII across public networks or external corporate perimeters must be dynamically encrypted prior to transmission using strict Transport Layer Security protocols (minimum TLS 1.2, defaulting to TLS 1.3) via HTTPS configurations.</w:t>
      </w:r>
      <w:r>
        <w:rPr>
          <w:rFonts w:ascii="Arial" w:hAnsi="Arial" w:eastAsia="Arial" w:cs="Arial"/>
        </w:rPr>
      </w:r>
    </w:p>
    <w:p xmlns:wp14="http://schemas.microsoft.com/office/word/2010/wordml" w14:paraId="71487C7B" wp14:textId="77777777">
      <w:pPr>
        <w:pStyle w:val="143"/>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0"/>
        </w:rPr>
        <w:t xml:space="preserve">4.3.4 Information Access</w:t>
      </w:r>
      <w:r>
        <w:rPr>
          <w:rFonts w:ascii="Arial" w:hAnsi="Arial" w:eastAsia="Arial" w:cs="Arial"/>
        </w:rPr>
      </w:r>
    </w:p>
    <w:p xmlns:wp14="http://schemas.microsoft.com/office/word/2010/wordml" w14:paraId="45DFAE78"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Internal personnel access to infrastructure databases containing telemetry or user accounts is restricted using the Principle of Least Privilege. Administrative access to the production management console requires mandatory Multi-Factor Authentication (MFA</w:t>
      </w:r>
      <w:r>
        <w:rPr>
          <w:rFonts w:ascii="Arial" w:hAnsi="Arial" w:eastAsia="Arial" w:cs="Arial"/>
          <w:color w:val="000000"/>
          <w:sz w:val="24"/>
        </w:rPr>
        <w:t xml:space="preserve">), source IP locking, and role-based access tokens. No employee or contractor will be granted infrastructure exposure without a countersigned corporate NDA.</w:t>
      </w:r>
      <w:r>
        <w:rPr>
          <w:rFonts w:ascii="Arial" w:hAnsi="Arial" w:eastAsia="Arial" w:cs="Arial"/>
        </w:rPr>
      </w:r>
    </w:p>
    <w:p xmlns:wp14="http://schemas.microsoft.com/office/word/2010/wordml" w14:paraId="138FA24E" wp14:textId="77777777">
      <w:pPr>
        <w:pStyle w:val="142"/>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4"/>
        </w:rPr>
        <w:t xml:space="preserve">4.4 Information Retention and Disposal</w:t>
      </w:r>
      <w:r>
        <w:rPr>
          <w:rFonts w:ascii="Arial" w:hAnsi="Arial" w:eastAsia="Arial" w:cs="Arial"/>
        </w:rPr>
      </w:r>
    </w:p>
    <w:p xmlns:wp14="http://schemas.microsoft.com/office/word/2010/wordml" w14:paraId="3F84DF4D"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enSights.ai retains customer metadata only for the duration required to achieve its defined operational purposes or as mandated by contract:</w:t>
      </w:r>
      <w:r>
        <w:rPr>
          <w:rFonts w:ascii="Arial" w:hAnsi="Arial" w:eastAsia="Arial" w:cs="Arial"/>
        </w:rPr>
      </w:r>
    </w:p>
    <w:p xmlns:wp14="http://schemas.microsoft.com/office/word/2010/wordml" w14:paraId="51BEDCF3"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Upon the termination or formal expiration of a customer agreement, all corresponding profile PII and administrative user configurations will be permanently purged from active cloud databases within 90 days.</w:t>
      </w:r>
      <w:r>
        <w:rPr>
          <w:rFonts w:ascii="Arial" w:hAnsi="Arial" w:eastAsia="Arial" w:cs="Arial"/>
        </w:rPr>
      </w:r>
    </w:p>
    <w:p xmlns:wp14="http://schemas.microsoft.com/office/word/2010/wordml" w14:paraId="41E7435F"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Cloud-native lifecycle rules are configured on object storage repositories to guarantee that ephemeral process files, data caching layers, and temporary debugging files are systematically wiped upon completion of their immediate runtime tasks.</w:t>
      </w:r>
      <w:r>
        <w:rPr>
          <w:rFonts w:ascii="Arial" w:hAnsi="Arial" w:eastAsia="Arial" w:cs="Arial"/>
        </w:rPr>
      </w:r>
    </w:p>
    <w:p xmlns:wp14="http://schemas.microsoft.com/office/word/2010/wordml" w14:paraId="18E35D11"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color w:val="000000"/>
          <w:sz w:val="24"/>
        </w:rPr>
        <w:t xml:space="preserve">All digital asset sanitization and database clearing procedures adhere to certified cryptographic erasure formats to guarantee data cannot be recovered.</w:t>
      </w:r>
      <w:r>
        <w:rPr>
          <w:rFonts w:ascii="Arial" w:hAnsi="Arial" w:eastAsia="Arial" w:cs="Arial"/>
        </w:rPr>
      </w:r>
    </w:p>
    <w:p xmlns:wp14="http://schemas.microsoft.com/office/word/2010/wordml" w14:paraId="104C9E92" wp14:textId="77777777">
      <w:pPr>
        <w:pStyle w:val="142"/>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4"/>
        </w:rPr>
        <w:t xml:space="preserve">4.5 Logging, Monitoring, and Compliance Verification</w:t>
      </w:r>
      <w:r>
        <w:rPr>
          <w:rFonts w:ascii="Arial" w:hAnsi="Arial" w:eastAsia="Arial" w:cs="Arial"/>
        </w:rPr>
      </w:r>
    </w:p>
    <w:p xmlns:wp14="http://schemas.microsoft.com/office/word/2010/wordml" w14:paraId="67A28EDE"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The CISO oversees the permanent activation of cloud-native auditing utilities (e.g., AWS CloudTrail and VPC Flow Logs). Audit paths are reviewed continuously via centralized threat detection systems to flag anomalous API calls, unapproved privilege escalat</w:t>
      </w:r>
      <w:r>
        <w:rPr>
          <w:rFonts w:ascii="Arial" w:hAnsi="Arial" w:eastAsia="Arial" w:cs="Arial"/>
          <w:color w:val="000000"/>
          <w:sz w:val="24"/>
        </w:rPr>
        <w:t xml:space="preserve">ion attempts, or suspicious data extraction events. enSights.ai provides its corporate customers with valid architectural summaries and independent audit verifications (such as our formal SOC 2 reports) to validate consistent alignment with this privacy fr</w:t>
      </w:r>
      <w:r>
        <w:rPr>
          <w:rFonts w:ascii="Arial" w:hAnsi="Arial" w:eastAsia="Arial" w:cs="Arial"/>
          <w:color w:val="000000"/>
          <w:sz w:val="24"/>
        </w:rPr>
        <w:t xml:space="preserve">amework.</w:t>
      </w:r>
      <w:r>
        <w:rPr>
          <w:rFonts w:ascii="Arial" w:hAnsi="Arial" w:eastAsia="Arial" w:cs="Arial"/>
        </w:rPr>
      </w:r>
    </w:p>
    <w:p xmlns:wp14="http://schemas.microsoft.com/office/word/2010/wordml" w14:paraId="2ACB37BA" wp14:textId="77777777">
      <w:pPr>
        <w:pStyle w:val="832"/>
        <w:numPr>
          <w:ilvl w:val="0"/>
          <w:numId w:val="0"/>
        </w:num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8"/>
        </w:rPr>
        <w:t xml:space="preserve">5. Managing Records Kept on the Basis of This Document</w:t>
      </w:r>
      <w:r>
        <w:rPr>
          <w:rFonts w:ascii="Arial" w:hAnsi="Arial" w:eastAsia="Arial" w:cs="Arial"/>
        </w:rPr>
      </w:r>
    </w:p>
    <w:p xmlns:wp14="http://schemas.microsoft.com/office/word/2010/wordml" w14:paraId="05739A90"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Record Name:</w:t>
      </w:r>
      <w:r>
        <w:rPr>
          <w:rFonts w:ascii="Arial" w:hAnsi="Arial" w:eastAsia="Arial" w:cs="Arial"/>
          <w:color w:val="000000"/>
          <w:sz w:val="24"/>
        </w:rPr>
        <w:t xml:space="preserve"> Registry of PII Disclosure</w:t>
      </w:r>
      <w:r>
        <w:rPr>
          <w:rFonts w:ascii="Arial" w:hAnsi="Arial" w:eastAsia="Arial" w:cs="Arial"/>
        </w:rPr>
      </w:r>
    </w:p>
    <w:p xmlns:wp14="http://schemas.microsoft.com/office/word/2010/wordml" w14:paraId="3BE36D28"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Storage Location:</w:t>
      </w:r>
      <w:r>
        <w:rPr>
          <w:rFonts w:ascii="Arial" w:hAnsi="Arial" w:eastAsia="Arial" w:cs="Arial"/>
          <w:color w:val="000000"/>
          <w:sz w:val="24"/>
        </w:rPr>
        <w:t xml:space="preserve"> Secure, encrypted compliance folder within the CISO corporate repository.</w:t>
      </w:r>
      <w:r>
        <w:rPr>
          <w:rFonts w:ascii="Arial" w:hAnsi="Arial" w:eastAsia="Arial" w:cs="Arial"/>
        </w:rPr>
      </w:r>
    </w:p>
    <w:p xmlns:wp14="http://schemas.microsoft.com/office/word/2010/wordml" w14:paraId="0C06A065"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Person Responsible:</w:t>
      </w:r>
      <w:r>
        <w:rPr>
          <w:rFonts w:ascii="Arial" w:hAnsi="Arial" w:eastAsia="Arial" w:cs="Arial"/>
          <w:color w:val="000000"/>
          <w:sz w:val="24"/>
        </w:rPr>
        <w:t xml:space="preserve"> Chief Information Security Officer (CISO).</w:t>
      </w:r>
      <w:r>
        <w:rPr>
          <w:rFonts w:ascii="Arial" w:hAnsi="Arial" w:eastAsia="Arial" w:cs="Arial"/>
        </w:rPr>
      </w:r>
    </w:p>
    <w:p xmlns:wp14="http://schemas.microsoft.com/office/word/2010/wordml" w14:paraId="43C17AE8"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Protection Controls:</w:t>
      </w:r>
      <w:r>
        <w:rPr>
          <w:rFonts w:ascii="Arial" w:hAnsi="Arial" w:eastAsia="Arial" w:cs="Arial"/>
          <w:color w:val="000000"/>
          <w:sz w:val="24"/>
        </w:rPr>
        <w:t xml:space="preserve"> Access restricted via role-based identity management to the CISO exclusively; read/write logging enabled.</w:t>
      </w:r>
      <w:r>
        <w:rPr>
          <w:rFonts w:ascii="Arial" w:hAnsi="Arial" w:eastAsia="Arial" w:cs="Arial"/>
        </w:rPr>
      </w:r>
    </w:p>
    <w:p xmlns:wp14="http://schemas.microsoft.com/office/word/2010/wordml" w14:paraId="708E697E" wp14:textId="77777777">
      <w:pPr>
        <w:pStyle w:val="863"/>
        <w:numPr>
          <w:ilvl w:val="0"/>
          <w:numId w:val="22"/>
        </w:numPr>
        <w:pBdr>
          <w:top w:val="none" w:color="000000" w:sz="4" w:space="0"/>
          <w:left w:val="none" w:color="000000" w:sz="4" w:space="0"/>
          <w:bottom w:val="none" w:color="000000" w:sz="4" w:space="0"/>
          <w:right w:val="none" w:color="000000" w:sz="4" w:space="0"/>
        </w:pBdr>
        <w:spacing/>
        <w:ind w:right="0"/>
        <w:rPr>
          <w:rFonts w:ascii="Arial" w:hAnsi="Arial" w:cs="Arial"/>
        </w:rPr>
      </w:pPr>
      <w:r>
        <w:rPr>
          <w:rFonts w:ascii="Arial" w:hAnsi="Arial" w:eastAsia="Arial" w:cs="Arial"/>
          <w:b/>
          <w:color w:val="000000"/>
          <w:sz w:val="24"/>
        </w:rPr>
        <w:t xml:space="preserve">Retention Period:</w:t>
      </w:r>
      <w:r>
        <w:rPr>
          <w:rFonts w:ascii="Arial" w:hAnsi="Arial" w:eastAsia="Arial" w:cs="Arial"/>
          <w:color w:val="000000"/>
          <w:sz w:val="24"/>
        </w:rPr>
        <w:t xml:space="preserve"> 3 years following the formal termination of the customer contract associated with the specific disclosure log.</w:t>
      </w:r>
      <w:r>
        <w:rPr>
          <w:rFonts w:ascii="Arial" w:hAnsi="Arial" w:eastAsia="Arial" w:cs="Arial"/>
        </w:rPr>
      </w:r>
    </w:p>
    <w:p xmlns:wp14="http://schemas.microsoft.com/office/word/2010/wordml" w14:paraId="27E7B429" wp14:textId="77777777">
      <w:pPr>
        <w:pStyle w:val="832"/>
        <w:numPr>
          <w:ilvl w:val="0"/>
          <w:numId w:val="0"/>
        </w:num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b/>
          <w:color w:val="000000"/>
          <w:sz w:val="28"/>
        </w:rPr>
        <w:t xml:space="preserve">6. Validity and Document Management</w:t>
      </w:r>
      <w:r>
        <w:rPr>
          <w:rFonts w:ascii="Arial" w:hAnsi="Arial" w:eastAsia="Arial" w:cs="Arial"/>
        </w:rPr>
      </w:r>
    </w:p>
    <w:p xmlns:wp14="http://schemas.microsoft.com/office/word/2010/wordml" w14:paraId="3AEFD0DB" wp14:textId="77777777">
      <w:pPr>
        <w:pBdr>
          <w:top w:val="none" w:color="000000" w:sz="4" w:space="0"/>
          <w:left w:val="none" w:color="000000" w:sz="4" w:space="0"/>
          <w:bottom w:val="none" w:color="000000" w:sz="4" w:space="0"/>
          <w:right w:val="none" w:color="000000" w:sz="4" w:space="0"/>
        </w:pBdr>
        <w:spacing/>
        <w:ind w:left="0" w:right="0" w:firstLine="0"/>
        <w:rPr>
          <w:rFonts w:ascii="Arial" w:hAnsi="Arial" w:cs="Arial"/>
        </w:rPr>
      </w:pPr>
      <w:r>
        <w:rPr>
          <w:rFonts w:ascii="Arial" w:hAnsi="Arial" w:eastAsia="Arial" w:cs="Arial"/>
          <w:color w:val="000000"/>
          <w:sz w:val="24"/>
        </w:rPr>
        <w:t xml:space="preserve">This document becomes fully operational immediately upon endorsement by the executive board. The document owner (CISO) is required to evaluate, review, and formally re-certify the operational accuracy of this policy at least once per calendar year, or dyna</w:t>
      </w:r>
      <w:r>
        <w:rPr>
          <w:rFonts w:ascii="Arial" w:hAnsi="Arial" w:eastAsia="Arial" w:cs="Arial"/>
          <w:color w:val="000000"/>
          <w:sz w:val="24"/>
        </w:rPr>
        <w:t xml:space="preserve">mically in response to systemic structural adjustments to the enSights.ai cloud hosting topology. Legacy versions of this policy must be retained in a read-only compliance archive for a minimum duration of 5 years.</w:t>
      </w:r>
      <w:r>
        <w:rPr>
          <w:rFonts w:ascii="Arial" w:hAnsi="Arial" w:eastAsia="Arial" w:cs="Arial"/>
        </w:rPr>
      </w:r>
    </w:p>
    <w:p xmlns:wp14="http://schemas.microsoft.com/office/word/2010/wordml" w14:paraId="2C5ED662" wp14:textId="77777777">
      <w:pPr>
        <w:pBdr/>
        <w:spacing/>
        <w:ind/>
        <w:rPr>
          <w:rFonts w:ascii="Arial" w:hAnsi="Arial" w:cs="Arial"/>
          <w:b/>
          <w:bCs/>
          <w:sz w:val="28"/>
          <w:szCs w:val="28"/>
        </w:rPr>
      </w:pPr>
      <w:r>
        <w:rPr>
          <w:rFonts w:ascii="Arial" w:hAnsi="Arial" w:eastAsia="Arial" w:cs="Arial"/>
          <w:lang w:val="en-US"/>
        </w:rPr>
      </w:r>
      <w:r>
        <w:rPr>
          <w:rFonts w:ascii="Arial" w:hAnsi="Arial" w:eastAsia="Arial" w:cs="Arial"/>
          <w:b/>
          <w:sz w:val="28"/>
          <w:szCs w:val="28"/>
          <w:lang w:val="en-US"/>
        </w:rPr>
      </w:r>
      <w:r>
        <w:rPr>
          <w:rFonts w:ascii="Arial" w:hAnsi="Arial" w:eastAsia="Arial" w:cs="Arial"/>
        </w:rPr>
      </w:r>
    </w:p>
    <w:sectPr>
      <w:headerReference w:type="default" r:id="rId9"/>
      <w:headerReference w:type="first" r:id="rId10"/>
      <w:footerReference w:type="default" r:id="rId11"/>
      <w:footnotePr/>
      <w:endnotePr/>
      <w:type w:val="nextPage"/>
      <w:pgSz w:w="11906" w:h="16838" w:orient="portrait"/>
      <w:pgMar w:top="1417" w:right="1417" w:bottom="1417" w:left="1417" w:header="708" w:footer="708" w:gutter="0"/>
      <w:cols w:equalWidth="1" w:space="708" w:num="1" w:sep="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ED3DD14" w14:textId="77777777">
      <w:pPr>
        <w:pBdr/>
        <w:spacing w:after="0" w:line="240" w:lineRule="auto"/>
        <w:ind/>
        <w:rPr/>
      </w:pPr>
      <w:r>
        <w:separator/>
      </w:r>
      <w:r/>
    </w:p>
  </w:endnote>
  <w:endnote w:type="continuationSeparator" w:id="0">
    <w:p w14:paraId="0D676204"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Courier New">
    <w:panose1 w:val="02070309020205020404"/>
  </w:font>
  <w:font w:name="Cambria">
    <w:panose1 w:val="02040503050406030204"/>
  </w:font>
  <w:font w:name="Tahoma">
    <w:panose1 w:val="020B0604030504040204"/>
  </w:font>
  <w:font w:name="Arial">
    <w:panose1 w:val="020B060402020202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322" w:type="dxa"/>
      <w:tblBorders>
        <w:top w:val="single" w:color="000000" w:sz="4" w:space="0"/>
        <w:insideH w:val="single" w:color="000000" w:sz="4" w:space="0"/>
      </w:tblBorders>
      <w:tblLook w:val="04A0" w:firstRow="1" w:lastRow="0" w:firstColumn="1" w:lastColumn="0" w:noHBand="0" w:noVBand="1"/>
    </w:tblPr>
    <w:tblGrid>
      <w:gridCol w:w="3652"/>
      <w:gridCol w:w="2268"/>
      <w:gridCol w:w="3402"/>
    </w:tblGrid>
    <w:tr xmlns:wp14="http://schemas.microsoft.com/office/word/2010/wordml" w14:paraId="179456CF" wp14:textId="77777777">
      <w:trPr/>
      <w:tc>
        <w:tcPr>
          <w:tcBorders/>
          <w:tcW w:w="3652" w:type="dxa"/>
        </w:tcPr>
        <w:p w14:paraId="79408280" w14:textId="7A904005">
          <w:pPr>
            <w:pStyle w:val="839"/>
            <w:pBdr/>
            <w:spacing/>
            <w:ind/>
            <w:rPr>
              <w:sz w:val="18"/>
              <w:szCs w:val="18"/>
              <w:lang w:val="en-US"/>
            </w:rPr>
          </w:pPr>
          <w:r>
            <w:rPr>
              <w:sz w:val="18"/>
              <w:lang w:val="en-US"/>
            </w:rPr>
            <w:t xml:space="preserve">Privacy Policy</w:t>
          </w:r>
          <w:r>
            <w:rPr>
              <w:sz w:val="18"/>
              <w:szCs w:val="18"/>
              <w:lang w:val="en-US"/>
            </w:rPr>
          </w:r>
        </w:p>
      </w:tc>
      <w:tc>
        <w:tcPr>
          <w:tcBorders/>
          <w:tcW w:w="2268" w:type="dxa"/>
        </w:tcPr>
        <w:p w14:paraId="3ADB6CF9" w14:textId="1D676C70">
          <w:pPr>
            <w:pStyle w:val="839"/>
            <w:pBdr/>
            <w:spacing/>
            <w:ind/>
            <w:jc w:val="center"/>
            <w:rPr>
              <w:rFonts w:hint="cs"/>
              <w:sz w:val="18"/>
              <w:szCs w:val="18"/>
              <w:lang w:val="en-US" w:bidi="he-IL"/>
            </w:rPr>
          </w:pPr>
          <w:r>
            <w:rPr>
              <w:sz w:val="18"/>
              <w:lang w:val="en-US"/>
            </w:rPr>
            <w:t xml:space="preserve">ver</w:t>
          </w:r>
          <w:r>
            <w:rPr>
              <w:sz w:val="18"/>
              <w:lang w:val="en-US"/>
            </w:rPr>
            <w:t xml:space="preserve"> </w:t>
          </w:r>
          <w:r>
            <w:rPr>
              <w:rFonts w:hint="cs"/>
              <w:sz w:val="18"/>
              <w:rtl/>
              <w:lang w:val="en-US" w:bidi="he-IL"/>
            </w:rPr>
            <w:t xml:space="preserve">1.0</w:t>
          </w:r>
          <w:r>
            <w:rPr>
              <w:rFonts w:hint="cs"/>
              <w:sz w:val="18"/>
              <w:szCs w:val="18"/>
              <w:lang w:val="en-US" w:bidi="he-IL"/>
            </w:rPr>
          </w:r>
        </w:p>
      </w:tc>
      <w:tc>
        <w:tcPr>
          <w:tcBorders/>
          <w:tcW w:w="3402" w:type="dxa"/>
        </w:tcPr>
        <w:p w14:paraId="0EF06BB2" w14:textId="1F818123">
          <w:pPr>
            <w:pStyle w:val="839"/>
            <w:pBdr/>
            <w:spacing/>
            <w:ind/>
            <w:jc w:val="right"/>
            <w:rPr>
              <w:b/>
              <w:sz w:val="18"/>
              <w:szCs w:val="18"/>
              <w:lang w:val="en-US"/>
            </w:rPr>
          </w:pPr>
          <w:r>
            <w:rPr>
              <w:sz w:val="18"/>
              <w:lang w:val="en-US"/>
            </w:rPr>
            <w:t xml:space="preserve">Page </w:t>
          </w:r>
          <w:r>
            <w:rPr>
              <w:b/>
              <w:sz w:val="18"/>
              <w:lang w:val="en-US"/>
            </w:rPr>
            <w:fldChar w:fldCharType="begin"/>
          </w:r>
          <w:r>
            <w:rPr>
              <w:b/>
              <w:sz w:val="18"/>
              <w:lang w:val="en-US"/>
            </w:rPr>
            <w:instrText xml:space="preserve"> PAGE </w:instrText>
          </w:r>
          <w:r>
            <w:rPr>
              <w:b/>
              <w:sz w:val="18"/>
              <w:lang w:val="en-US"/>
            </w:rPr>
            <w:fldChar w:fldCharType="separate"/>
          </w:r>
          <w:r>
            <w:rPr>
              <w:b/>
              <w:sz w:val="18"/>
              <w:lang w:val="en-US"/>
            </w:rPr>
            <w:t xml:space="preserve">3</w:t>
          </w:r>
          <w:r>
            <w:rPr>
              <w:b/>
              <w:sz w:val="18"/>
              <w:lang w:val="en-US"/>
            </w:rPr>
            <w:fldChar w:fldCharType="end"/>
          </w:r>
          <w:r>
            <w:rPr>
              <w:sz w:val="18"/>
              <w:lang w:val="en-US"/>
            </w:rPr>
            <w:t xml:space="preserve"> of </w:t>
          </w:r>
          <w:r>
            <w:rPr>
              <w:b/>
              <w:sz w:val="18"/>
              <w:lang w:val="en-US"/>
            </w:rPr>
            <w:fldChar w:fldCharType="begin"/>
          </w:r>
          <w:r>
            <w:rPr>
              <w:b/>
              <w:sz w:val="18"/>
              <w:lang w:val="en-US"/>
            </w:rPr>
            <w:instrText xml:space="preserve"> NUMPAGES  </w:instrText>
          </w:r>
          <w:r>
            <w:rPr>
              <w:b/>
              <w:sz w:val="18"/>
              <w:lang w:val="en-US"/>
            </w:rPr>
            <w:fldChar w:fldCharType="separate"/>
          </w:r>
          <w:r>
            <w:rPr>
              <w:b/>
              <w:sz w:val="18"/>
              <w:lang w:val="en-US"/>
            </w:rPr>
            <w:t xml:space="preserve">7</w:t>
          </w:r>
          <w:r>
            <w:rPr>
              <w:b/>
              <w:sz w:val="18"/>
              <w:lang w:val="en-US"/>
            </w:rPr>
            <w:fldChar w:fldCharType="end"/>
          </w:r>
          <w:r>
            <w:rPr>
              <w:b/>
              <w:sz w:val="18"/>
              <w:szCs w:val="18"/>
              <w:lang w:val="en-US"/>
            </w:rPr>
          </w:r>
        </w:p>
      </w:tc>
    </w:tr>
  </w:tbl>
  <w:p w14:paraId="5E9CC2AC" w14:textId="42F774CE">
    <w:pPr>
      <w:pBdr/>
      <w:spacing w:after="0"/>
      <w:ind/>
      <w:jc w:val="center"/>
      <w:rPr>
        <w:sz w:val="16"/>
        <w:szCs w:val="16"/>
        <w:lang w:val="en-US"/>
      </w:rPr>
    </w:pPr>
    <w:r>
      <w:rPr>
        <w:sz w:val="16"/>
        <w:szCs w:val="16"/>
        <w:lang w:val="en-US"/>
      </w:rPr>
    </w:r>
    <w:r>
      <w:rPr>
        <w:sz w:val="16"/>
        <w:szCs w:val="16"/>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2CBB7BA" w14:textId="77777777">
      <w:pPr>
        <w:pBdr/>
        <w:spacing w:after="0" w:line="240" w:lineRule="auto"/>
        <w:ind/>
        <w:rPr/>
      </w:pPr>
      <w:r>
        <w:separator/>
      </w:r>
      <w:r/>
    </w:p>
  </w:footnote>
  <w:footnote w:type="continuationSeparator" w:id="0">
    <w:p w14:paraId="44B939D6"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0" w:type="auto"/>
      <w:tblBorders>
        <w:bottom w:val="single" w:color="000000" w:sz="4" w:space="0"/>
        <w:insideH w:val="single" w:color="000000" w:sz="4" w:space="0"/>
      </w:tblBorders>
      <w:tblLook w:val="04A0" w:firstRow="1" w:lastRow="0" w:firstColumn="1" w:lastColumn="0" w:noHBand="0" w:noVBand="1"/>
    </w:tblPr>
    <w:tblGrid>
      <w:gridCol w:w="6771"/>
      <w:gridCol w:w="2517"/>
    </w:tblGrid>
    <w:tr xmlns:wp14="http://schemas.microsoft.com/office/word/2010/wordml" w14:paraId="4BEFD4FB" wp14:textId="77777777">
      <w:trPr/>
      <w:tc>
        <w:tcPr>
          <w:tcBorders/>
          <w:tcW w:w="6771" w:type="dxa"/>
        </w:tcPr>
        <w:p w14:paraId="7679ED46" w14:textId="7B46F382">
          <w:pPr>
            <w:pStyle w:val="837"/>
            <w:pBdr/>
            <w:spacing w:after="0"/>
            <w:ind/>
            <w:rPr>
              <w:sz w:val="20"/>
              <w:szCs w:val="20"/>
              <w:lang w:val="en-US"/>
            </w:rPr>
          </w:pPr>
          <w:r>
            <w:rPr>
              <w:sz w:val="20"/>
              <w:lang w:val="en-US"/>
            </w:rPr>
            <w:t xml:space="preserve">enSights </w:t>
          </w:r>
          <w:r>
            <w:rPr>
              <w:sz w:val="20"/>
              <w:szCs w:val="20"/>
              <w:lang w:val="en-US"/>
            </w:rPr>
          </w:r>
        </w:p>
      </w:tc>
      <w:tc>
        <w:tcPr>
          <w:tcBorders/>
          <w:tcW w:w="2517" w:type="dxa"/>
        </w:tcPr>
        <w:p w14:paraId="3E9088EC" w14:textId="5E6D3EC1">
          <w:pPr>
            <w:pStyle w:val="837"/>
            <w:pBdr/>
            <w:spacing w:after="0"/>
            <w:ind/>
            <w:jc w:val="right"/>
            <w:rPr>
              <w:sz w:val="20"/>
              <w:szCs w:val="20"/>
              <w:rtl/>
              <w:lang w:val="en-US" w:bidi="he-IL"/>
            </w:rPr>
          </w:pPr>
          <w:r>
            <w:rPr>
              <w:sz w:val="20"/>
              <w:lang w:val="en-US" w:bidi="he-IL"/>
            </w:rPr>
            <w:t xml:space="preserve">High</w:t>
          </w:r>
          <w:r>
            <w:rPr>
              <w:sz w:val="20"/>
              <w:szCs w:val="20"/>
              <w:rtl/>
              <w:lang w:val="en-US" w:bidi="he-IL"/>
            </w:rPr>
          </w:r>
        </w:p>
      </w:tc>
    </w:tr>
  </w:tbl>
  <w:p w14:paraId="6D18BA13" w14:textId="77777777">
    <w:pPr>
      <w:pStyle w:val="837"/>
      <w:pBdr/>
      <w:spacing w:after="0"/>
      <w:ind/>
      <w:rPr>
        <w:sz w:val="20"/>
        <w:szCs w:val="20"/>
        <w:lang w:val="en-US"/>
      </w:rPr>
    </w:pPr>
    <w:r>
      <w:rPr>
        <w:sz w:val="20"/>
        <w:szCs w:val="20"/>
        <w:lang w:val="en-US"/>
      </w:rPr>
    </w:r>
    <w:r>
      <w:rPr>
        <w:sz w:val="20"/>
        <w:szCs w:val="20"/>
        <w:lang w:val="en-US"/>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xmlns:pic="http://schemas.openxmlformats.org/drawingml/2006/picture" mc:Ignorable="w14 w15 wp14">
  <w:p xmlns:wp14="http://schemas.microsoft.com/office/word/2010/wordml" w14:paraId="67B8BBF6" wp14:textId="77777777">
    <w:pPr>
      <w:pStyle w:val="837"/>
      <w:pBdr/>
      <w:spacing/>
      <w:ind/>
      <w:rPr/>
    </w:pPr>
    <w:r/>
    <w:r>
      <mc:AlternateContent>
        <mc:Choice Requires="wpg">
          <w:drawing>
            <wp:inline xmlns:wp="http://schemas.openxmlformats.org/drawingml/2006/wordprocessingDrawing" xmlns:wp14="http://schemas.microsoft.com/office/word/2010/wordprocessingDrawing" distT="0" distB="0" distL="0" distR="0" wp14:anchorId="0CCFC093" wp14:editId="7777777">
              <wp:extent cx="1533525" cy="36195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2501" name=""/>
                      <pic:cNvPicPr>
                        <a:picLocks noChangeAspect="1"/>
                      </pic:cNvPicPr>
                      <pic:nvPr/>
                    </pic:nvPicPr>
                    <pic:blipFill rotWithShape="1">
                      <a:blip r:embed="rId1"/>
                      <a:stretch/>
                    </pic:blipFill>
                    <pic:spPr bwMode="auto">
                      <a:xfrm>
                        <a:off x="0" y="0"/>
                        <a:ext cx="1533524" cy="361949"/>
                      </a:xfrm>
                      <a:prstGeom prst="rect">
                        <a:avLst/>
                      </a:prstGeom>
                    </pic:spPr>
                  </pic:pic>
                </a:graphicData>
              </a:graphic>
            </wp:inline>
          </w:drawing>
        </mc:Choice>
        <mc:Fallback>
          <w:pict w14:anchorId="709800A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0" style="width:120.75pt;height:28.50pt;mso-wrap-distance-left:0.00pt;mso-wrap-distance-top:0.00pt;mso-wrap-distance-right:0.00pt;mso-wrap-distance-bottom:0.00pt;z-index:1;" o:spid="_x0000_s0" stroked="false" type="#_x0000_t75">
              <v:imagedata o:title="" r:id="rId1"/>
              <o:lock v:ext="edit" rotation="t"/>
            </v:shape>
          </w:pict>
        </mc:Fallback>
      </mc:AlternateContent>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D559E"/>
    <w:lvl w:ilvl="0">
      <w:isLgl w:val="false"/>
      <w:lvlJc w:val="left"/>
      <w:lvlText w:val="%1."/>
      <w:numFmt w:val="decimal"/>
      <w:pPr>
        <w:pBdr/>
        <w:spacing/>
        <w:ind w:left="360" w:hanging="360"/>
      </w:pPr>
      <w:pStyle w:val="830"/>
      <w:rPr>
        <w:rFonts w:hint="default"/>
      </w:rPr>
      <w:start w:val="1"/>
      <w:suff w:val="tab"/>
    </w:lvl>
    <w:lvl w:ilvl="1">
      <w:isLgl w:val="true"/>
      <w:lvlJc w:val="left"/>
      <w:lvlText w:val="%1.%2."/>
      <w:numFmt w:val="decimal"/>
      <w:pPr>
        <w:pBdr/>
        <w:spacing/>
        <w:ind w:left="360" w:hanging="360"/>
      </w:pPr>
      <w:pStyle w:val="831"/>
      <w:rPr>
        <w:rFonts w:hint="default"/>
      </w:rPr>
      <w:start w:val="1"/>
      <w:suff w:val="tab"/>
    </w:lvl>
    <w:lvl w:ilvl="2">
      <w:isLgl w:val="true"/>
      <w:lvlJc w:val="left"/>
      <w:lvlText w:val="%1.%2.%3."/>
      <w:numFmt w:val="decimal"/>
      <w:pPr>
        <w:pBdr/>
        <w:spacing/>
        <w:ind w:left="720" w:hanging="720"/>
      </w:pPr>
      <w:pStyle w:val="832"/>
      <w:rPr>
        <w:rFonts w:hint="default"/>
      </w:rPr>
      <w:start w:val="1"/>
      <w:suff w:val="tab"/>
    </w:lvl>
    <w:lvl w:ilvl="3">
      <w:isLgl w:val="true"/>
      <w:lvlJc w:val="left"/>
      <w:lvlText w:val="%1.%2.%3.%4."/>
      <w:numFmt w:val="decimal"/>
      <w:pPr>
        <w:pBdr/>
        <w:spacing/>
        <w:ind w:left="720" w:hanging="720"/>
      </w:pPr>
      <w:rPr>
        <w:rFonts w:hint="default"/>
      </w:rPr>
      <w:start w:val="1"/>
      <w:suff w:val="tab"/>
    </w:lvl>
    <w:lvl w:ilvl="4">
      <w:isLgl w:val="true"/>
      <w:lvlJc w:val="left"/>
      <w:lvlText w:val="%1.%2.%3.%4.%5."/>
      <w:numFmt w:val="decimal"/>
      <w:pPr>
        <w:pBdr/>
        <w:spacing/>
        <w:ind w:left="1080" w:hanging="1080"/>
      </w:pPr>
      <w:rPr>
        <w:rFonts w:hint="default"/>
      </w:rPr>
      <w:start w:val="1"/>
      <w:suff w:val="tab"/>
    </w:lvl>
    <w:lvl w:ilvl="5">
      <w:isLgl w:val="true"/>
      <w:lvlJc w:val="left"/>
      <w:lvlText w:val="%1.%2.%3.%4.%5.%6."/>
      <w:numFmt w:val="decimal"/>
      <w:pPr>
        <w:pBdr/>
        <w:spacing/>
        <w:ind w:left="1080" w:hanging="1080"/>
      </w:pPr>
      <w:rPr>
        <w:rFonts w:hint="default"/>
      </w:rPr>
      <w:start w:val="1"/>
      <w:suff w:val="tab"/>
    </w:lvl>
    <w:lvl w:ilvl="6">
      <w:isLgl w:val="true"/>
      <w:lvlJc w:val="left"/>
      <w:lvlText w:val="%1.%2.%3.%4.%5.%6.%7."/>
      <w:numFmt w:val="decimal"/>
      <w:pPr>
        <w:pBdr/>
        <w:spacing/>
        <w:ind w:left="1440" w:hanging="1440"/>
      </w:pPr>
      <w:rPr>
        <w:rFonts w:hint="default"/>
      </w:rPr>
      <w:start w:val="1"/>
      <w:suff w:val="tab"/>
    </w:lvl>
    <w:lvl w:ilvl="7">
      <w:isLgl w:val="true"/>
      <w:lvlJc w:val="left"/>
      <w:lvlText w:val="%1.%2.%3.%4.%5.%6.%7.%8."/>
      <w:numFmt w:val="decimal"/>
      <w:pPr>
        <w:pBdr/>
        <w:spacing/>
        <w:ind w:left="1440" w:hanging="1440"/>
      </w:pPr>
      <w:rPr>
        <w:rFonts w:hint="default"/>
      </w:rPr>
      <w:start w:val="1"/>
      <w:suff w:val="tab"/>
    </w:lvl>
    <w:lvl w:ilvl="8">
      <w:isLgl w:val="true"/>
      <w:lvlJc w:val="left"/>
      <w:lvlText w:val="%1.%2.%3.%4.%5.%6.%7.%8.%9."/>
      <w:numFmt w:val="decimal"/>
      <w:pPr>
        <w:pBdr/>
        <w:spacing/>
        <w:ind w:left="1800" w:hanging="1800"/>
      </w:pPr>
      <w:rPr>
        <w:rFonts w:hint="default"/>
      </w:rPr>
      <w:start w:val="1"/>
      <w:suff w:val="tab"/>
    </w:lvl>
  </w:abstractNum>
  <w:abstractNum w:abstractNumId="1">
    <w:nsid w:val="0CB41A82"/>
    <w:lvl w:ilvl="0">
      <w:isLgl w:val="false"/>
      <w:lvlJc w:val="left"/>
      <w:lvlText w:val="-"/>
      <w:numFmt w:val="bullet"/>
      <w:pPr>
        <w:pBdr/>
        <w:spacing/>
        <w:ind w:left="720" w:hanging="360"/>
      </w:pPr>
      <w:rPr>
        <w:rFonts w:hint="default" w:ascii="Calibri" w:hAnsi="Calibri" w:eastAsia="Calibri" w:cs="Calibri"/>
      </w:rPr>
      <w:start w:val="4"/>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2">
    <w:nsid w:val="11CE5243"/>
    <w:lvl w:ilvl="0">
      <w:isLgl w:val="false"/>
      <w:lvlJc w:val="left"/>
      <w:lvlText w:val="-"/>
      <w:numFmt w:val="bullet"/>
      <w:pPr>
        <w:pBdr/>
        <w:spacing/>
        <w:ind w:left="720" w:hanging="360"/>
      </w:pPr>
      <w:rPr>
        <w:rFonts w:hint="default" w:ascii="Calibri" w:hAnsi="Calibri" w:eastAsia="Calibri" w:cs="Times New Roman"/>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3">
    <w:nsid w:val="122727FB"/>
    <w:lvl w:ilvl="0">
      <w:isLgl w:val="false"/>
      <w:lvlJc w:val="left"/>
      <w:lvlText w:val="-"/>
      <w:numFmt w:val="bullet"/>
      <w:pPr>
        <w:pBdr/>
        <w:spacing/>
        <w:ind w:left="720" w:hanging="360"/>
      </w:pPr>
      <w:rPr>
        <w:rFonts w:hint="default" w:ascii="Calibri" w:hAnsi="Calibri" w:eastAsia="Calibri" w:cs="Calibri"/>
      </w:rPr>
      <w:start w:val="4"/>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4">
    <w:nsid w:val="17A268D5"/>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5">
    <w:nsid w:val="1802375B"/>
    <w:lvl w:ilvl="0">
      <w:isLgl w:val="false"/>
      <w:lvlJc w:val="left"/>
      <w:lvlText w:val="%1"/>
      <w:numFmt w:val="decimal"/>
      <w:pPr>
        <w:pBdr/>
        <w:tabs>
          <w:tab w:val="num" w:leader="none" w:pos="360"/>
        </w:tabs>
        <w:spacing/>
        <w:ind w:left="360" w:hanging="360"/>
      </w:pPr>
      <w:rPr>
        <w:rFonts w:hint="default"/>
      </w:rPr>
      <w:start w:val="4"/>
      <w:suff w:val="tab"/>
    </w:lvl>
    <w:lvl w:ilvl="1">
      <w:isLgl w:val="false"/>
      <w:lvlJc w:val="left"/>
      <w:lvlText w:val="%1.%2"/>
      <w:numFmt w:val="decimal"/>
      <w:pPr>
        <w:pBdr/>
        <w:tabs>
          <w:tab w:val="num" w:leader="none" w:pos="540"/>
        </w:tabs>
        <w:spacing/>
        <w:ind w:left="540" w:hanging="720"/>
      </w:pPr>
      <w:rPr>
        <w:rFonts w:hint="default"/>
      </w:rPr>
      <w:start w:val="1"/>
      <w:suff w:val="tab"/>
    </w:lvl>
    <w:lvl w:ilvl="2">
      <w:isLgl w:val="false"/>
      <w:lvlJc w:val="left"/>
      <w:lvlText w:val="%1.%2.%3"/>
      <w:numFmt w:val="decimal"/>
      <w:pPr>
        <w:pBdr/>
        <w:tabs>
          <w:tab w:val="num" w:leader="none" w:pos="360"/>
        </w:tabs>
        <w:spacing/>
        <w:ind w:left="360" w:hanging="720"/>
      </w:pPr>
      <w:rPr>
        <w:rFonts w:hint="default"/>
      </w:rPr>
      <w:start w:val="1"/>
      <w:suff w:val="tab"/>
    </w:lvl>
    <w:lvl w:ilvl="3">
      <w:isLgl w:val="false"/>
      <w:lvlJc w:val="left"/>
      <w:lvlText w:val="%1.%2.%3.%4"/>
      <w:numFmt w:val="decimal"/>
      <w:pPr>
        <w:pBdr/>
        <w:tabs>
          <w:tab w:val="num" w:leader="none" w:pos="540"/>
        </w:tabs>
        <w:spacing/>
        <w:ind w:left="540" w:hanging="1080"/>
      </w:pPr>
      <w:rPr>
        <w:rFonts w:hint="default"/>
      </w:rPr>
      <w:start w:val="1"/>
      <w:suff w:val="tab"/>
    </w:lvl>
    <w:lvl w:ilvl="4">
      <w:isLgl w:val="false"/>
      <w:lvlJc w:val="left"/>
      <w:lvlText w:val="%1.%2.%3.%4.%5"/>
      <w:numFmt w:val="decimal"/>
      <w:pPr>
        <w:pBdr/>
        <w:tabs>
          <w:tab w:val="num" w:leader="none" w:pos="720"/>
        </w:tabs>
        <w:spacing/>
        <w:ind w:left="720" w:hanging="1440"/>
      </w:pPr>
      <w:rPr>
        <w:rFonts w:hint="default"/>
      </w:rPr>
      <w:start w:val="1"/>
      <w:suff w:val="tab"/>
    </w:lvl>
    <w:lvl w:ilvl="5">
      <w:isLgl w:val="false"/>
      <w:lvlJc w:val="left"/>
      <w:lvlText w:val="%1.%2.%3.%4.%5.%6"/>
      <w:numFmt w:val="decimal"/>
      <w:pPr>
        <w:pBdr/>
        <w:tabs>
          <w:tab w:val="num" w:leader="none" w:pos="540"/>
        </w:tabs>
        <w:spacing/>
        <w:ind w:left="540" w:hanging="1440"/>
      </w:pPr>
      <w:rPr>
        <w:rFonts w:hint="default"/>
      </w:rPr>
      <w:start w:val="1"/>
      <w:suff w:val="tab"/>
    </w:lvl>
    <w:lvl w:ilvl="6">
      <w:isLgl w:val="false"/>
      <w:lvlJc w:val="left"/>
      <w:lvlText w:val="%1.%2.%3.%4.%5.%6.%7"/>
      <w:numFmt w:val="decimal"/>
      <w:pPr>
        <w:pBdr/>
        <w:tabs>
          <w:tab w:val="num" w:leader="none" w:pos="720"/>
        </w:tabs>
        <w:spacing/>
        <w:ind w:left="720" w:hanging="1800"/>
      </w:pPr>
      <w:rPr>
        <w:rFonts w:hint="default"/>
      </w:rPr>
      <w:start w:val="1"/>
      <w:suff w:val="tab"/>
    </w:lvl>
    <w:lvl w:ilvl="7">
      <w:isLgl w:val="false"/>
      <w:lvlJc w:val="left"/>
      <w:lvlText w:val="%1.%2.%3.%4.%5.%6.%7.%8"/>
      <w:numFmt w:val="decimal"/>
      <w:pPr>
        <w:pBdr/>
        <w:tabs>
          <w:tab w:val="num" w:leader="none" w:pos="900"/>
        </w:tabs>
        <w:spacing/>
        <w:ind w:left="900" w:hanging="2160"/>
      </w:pPr>
      <w:rPr>
        <w:rFonts w:hint="default"/>
      </w:rPr>
      <w:start w:val="1"/>
      <w:suff w:val="tab"/>
    </w:lvl>
    <w:lvl w:ilvl="8">
      <w:isLgl w:val="false"/>
      <w:lvlJc w:val="left"/>
      <w:lvlText w:val="%1.%2.%3.%4.%5.%6.%7.%8.%9"/>
      <w:numFmt w:val="decimal"/>
      <w:pPr>
        <w:pBdr/>
        <w:tabs>
          <w:tab w:val="num" w:leader="none" w:pos="720"/>
        </w:tabs>
        <w:spacing/>
        <w:ind w:left="720" w:hanging="2160"/>
      </w:pPr>
      <w:rPr>
        <w:rFonts w:hint="default"/>
      </w:rPr>
      <w:start w:val="1"/>
      <w:suff w:val="tab"/>
    </w:lvl>
  </w:abstractNum>
  <w:abstractNum w:abstractNumId="6">
    <w:nsid w:val="1AA14A13"/>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7">
    <w:nsid w:val="1DD80C54"/>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8">
    <w:nsid w:val="1E962594"/>
    <w:lvl w:ilvl="0">
      <w:isLgl w:val="false"/>
      <w:lvlJc w:val="left"/>
      <w:lvlText w:val="%1."/>
      <w:numFmt w:val="decimal"/>
      <w:pPr>
        <w:pBdr/>
        <w:spacing/>
        <w:ind w:left="1080" w:hanging="360"/>
      </w:pPr>
      <w:rPr>
        <w:rFonts w:ascii="Calibri" w:hAnsi="Calibri" w:eastAsia="Calibri" w:cs="Times New Roman"/>
      </w:rPr>
      <w:start w:val="1"/>
      <w:suff w:val="tab"/>
    </w:lvl>
    <w:lvl w:ilvl="1">
      <w:isLgl w:val="false"/>
      <w:lvlJc w:val="left"/>
      <w:lvlText w:val="%2."/>
      <w:numFmt w:val="lowerLetter"/>
      <w:pPr>
        <w:pBdr/>
        <w:spacing/>
        <w:ind w:left="1800" w:hanging="360"/>
      </w:pPr>
      <w:rPr/>
      <w:start w:val="1"/>
      <w:suff w:val="tab"/>
    </w:lvl>
    <w:lvl w:ilvl="2">
      <w:isLgl w:val="false"/>
      <w:lvlJc w:val="right"/>
      <w:lvlText w:val="%3."/>
      <w:numFmt w:val="lowerRoman"/>
      <w:pPr>
        <w:pBdr/>
        <w:spacing/>
        <w:ind w:left="2520" w:hanging="180"/>
      </w:pPr>
      <w:rPr/>
      <w:start w:val="1"/>
      <w:suff w:val="tab"/>
    </w:lvl>
    <w:lvl w:ilvl="3">
      <w:isLgl w:val="false"/>
      <w:lvlJc w:val="left"/>
      <w:lvlText w:val="%4."/>
      <w:numFmt w:val="decimal"/>
      <w:pPr>
        <w:pBdr/>
        <w:spacing/>
        <w:ind w:left="3240" w:hanging="360"/>
      </w:pPr>
      <w:rPr/>
      <w:start w:val="1"/>
      <w:suff w:val="tab"/>
    </w:lvl>
    <w:lvl w:ilvl="4">
      <w:isLgl w:val="false"/>
      <w:lvlJc w:val="left"/>
      <w:lvlText w:val="%5."/>
      <w:numFmt w:val="lowerLetter"/>
      <w:pPr>
        <w:pBdr/>
        <w:spacing/>
        <w:ind w:left="3960" w:hanging="360"/>
      </w:pPr>
      <w:rPr/>
      <w:start w:val="1"/>
      <w:suff w:val="tab"/>
    </w:lvl>
    <w:lvl w:ilvl="5">
      <w:isLgl w:val="false"/>
      <w:lvlJc w:val="right"/>
      <w:lvlText w:val="%6."/>
      <w:numFmt w:val="lowerRoman"/>
      <w:pPr>
        <w:pBdr/>
        <w:spacing/>
        <w:ind w:left="4680" w:hanging="180"/>
      </w:pPr>
      <w:rPr/>
      <w:start w:val="1"/>
      <w:suff w:val="tab"/>
    </w:lvl>
    <w:lvl w:ilvl="6">
      <w:isLgl w:val="false"/>
      <w:lvlJc w:val="left"/>
      <w:lvlText w:val="%7."/>
      <w:numFmt w:val="decimal"/>
      <w:pPr>
        <w:pBdr/>
        <w:spacing/>
        <w:ind w:left="5400" w:hanging="360"/>
      </w:pPr>
      <w:rPr/>
      <w:start w:val="1"/>
      <w:suff w:val="tab"/>
    </w:lvl>
    <w:lvl w:ilvl="7">
      <w:isLgl w:val="false"/>
      <w:lvlJc w:val="left"/>
      <w:lvlText w:val="%8."/>
      <w:numFmt w:val="lowerLetter"/>
      <w:pPr>
        <w:pBdr/>
        <w:spacing/>
        <w:ind w:left="6120" w:hanging="360"/>
      </w:pPr>
      <w:rPr/>
      <w:start w:val="1"/>
      <w:suff w:val="tab"/>
    </w:lvl>
    <w:lvl w:ilvl="8">
      <w:isLgl w:val="false"/>
      <w:lvlJc w:val="right"/>
      <w:lvlText w:val="%9."/>
      <w:numFmt w:val="lowerRoman"/>
      <w:pPr>
        <w:pBdr/>
        <w:spacing/>
        <w:ind w:left="6840" w:hanging="180"/>
      </w:pPr>
      <w:rPr/>
      <w:start w:val="1"/>
      <w:suff w:val="tab"/>
    </w:lvl>
  </w:abstractNum>
  <w:abstractNum w:abstractNumId="9">
    <w:nsid w:val="202A1973"/>
    <w:lvl w:ilvl="0">
      <w:isLgl w:val="false"/>
      <w:lvlJc w:val="left"/>
      <w:lvlText w:val="-"/>
      <w:numFmt w:val="bullet"/>
      <w:pPr>
        <w:pBdr/>
        <w:spacing/>
        <w:ind w:left="720" w:hanging="360"/>
      </w:pPr>
      <w:rPr>
        <w:rFonts w:hint="default" w:ascii="Calibri" w:hAnsi="Calibri" w:eastAsia="Calibri" w:cs="Calibri"/>
      </w:rPr>
      <w:start w:val="4"/>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0">
    <w:nsid w:val="32B04F65"/>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1">
    <w:nsid w:val="4A060697"/>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2">
    <w:nsid w:val="4DA85C07"/>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3">
    <w:nsid w:val="505A54B0"/>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4">
    <w:nsid w:val="52E56E15"/>
    <w:lvl w:ilvl="0">
      <w:isLgl w:val="false"/>
      <w:lvlJc w:val="left"/>
      <w:lvlText w:val="-"/>
      <w:numFmt w:val="bullet"/>
      <w:pPr>
        <w:pBdr/>
        <w:spacing/>
        <w:ind w:left="720" w:hanging="360"/>
      </w:pPr>
      <w:rPr>
        <w:rFonts w:hint="default" w:ascii="Calibri" w:hAnsi="Calibri" w:eastAsia="Calibri" w:cs="Calibri"/>
      </w:rPr>
      <w:start w:val="4"/>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5">
    <w:nsid w:val="5B3A0A27"/>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6">
    <w:nsid w:val="650C43B1"/>
    <w:lvl w:ilvl="0">
      <w:isLgl w:val="false"/>
      <w:lvlJc w:val="left"/>
      <w:lvlText w:val="-"/>
      <w:numFmt w:val="bullet"/>
      <w:pPr>
        <w:pBdr/>
        <w:spacing/>
        <w:ind w:left="720" w:hanging="360"/>
      </w:pPr>
      <w:rPr>
        <w:rFonts w:hint="default" w:ascii="Calibri" w:hAnsi="Calibri" w:eastAsia="Calibri" w:cs="Calibri"/>
      </w:rPr>
      <w:start w:val="4"/>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7">
    <w:nsid w:val="694268DB"/>
    <w:lvl w:ilvl="0">
      <w:isLgl w:val="false"/>
      <w:lvlJc w:val="left"/>
      <w:lvlText w:val=""/>
      <w:numFmt w:val="bullet"/>
      <w:pPr>
        <w:pBdr/>
        <w:spacing/>
        <w:ind w:left="1080" w:hanging="360"/>
      </w:pPr>
      <w:rPr>
        <w:rFonts w:hint="default" w:ascii="Symbol" w:hAnsi="Symbol"/>
      </w:rPr>
      <w:start w:val="1"/>
      <w:suff w:val="tab"/>
    </w:lvl>
    <w:lvl w:ilvl="1">
      <w:isLgl w:val="false"/>
      <w:lvlJc w:val="left"/>
      <w:lvlText w:val="o"/>
      <w:numFmt w:val="bullet"/>
      <w:pPr>
        <w:pBdr/>
        <w:spacing/>
        <w:ind w:left="1800" w:hanging="360"/>
      </w:pPr>
      <w:rPr>
        <w:rFonts w:hint="default" w:ascii="Courier New" w:hAnsi="Courier New" w:cs="Courier New"/>
      </w:rPr>
      <w:start w:val="1"/>
      <w:suff w:val="tab"/>
    </w:lvl>
    <w:lvl w:ilvl="2">
      <w:isLgl w:val="false"/>
      <w:lvlJc w:val="left"/>
      <w:lvlText w:val=""/>
      <w:numFmt w:val="bullet"/>
      <w:pPr>
        <w:pBdr/>
        <w:spacing/>
        <w:ind w:left="2520" w:hanging="360"/>
      </w:pPr>
      <w:rPr>
        <w:rFonts w:hint="default" w:ascii="Wingdings" w:hAnsi="Wingdings"/>
      </w:rPr>
      <w:start w:val="1"/>
      <w:suff w:val="tab"/>
    </w:lvl>
    <w:lvl w:ilvl="3">
      <w:isLgl w:val="false"/>
      <w:lvlJc w:val="left"/>
      <w:lvlText w:val=""/>
      <w:numFmt w:val="bullet"/>
      <w:pPr>
        <w:pBdr/>
        <w:spacing/>
        <w:ind w:left="3240" w:hanging="360"/>
      </w:pPr>
      <w:rPr>
        <w:rFonts w:hint="default" w:ascii="Symbol" w:hAnsi="Symbol"/>
      </w:rPr>
      <w:start w:val="1"/>
      <w:suff w:val="tab"/>
    </w:lvl>
    <w:lvl w:ilvl="4">
      <w:isLgl w:val="false"/>
      <w:lvlJc w:val="left"/>
      <w:lvlText w:val="o"/>
      <w:numFmt w:val="bullet"/>
      <w:pPr>
        <w:pBdr/>
        <w:spacing/>
        <w:ind w:left="3960" w:hanging="360"/>
      </w:pPr>
      <w:rPr>
        <w:rFonts w:hint="default" w:ascii="Courier New" w:hAnsi="Courier New" w:cs="Courier New"/>
      </w:rPr>
      <w:start w:val="1"/>
      <w:suff w:val="tab"/>
    </w:lvl>
    <w:lvl w:ilvl="5">
      <w:isLgl w:val="false"/>
      <w:lvlJc w:val="left"/>
      <w:lvlText w:val=""/>
      <w:numFmt w:val="bullet"/>
      <w:pPr>
        <w:pBdr/>
        <w:spacing/>
        <w:ind w:left="4680" w:hanging="360"/>
      </w:pPr>
      <w:rPr>
        <w:rFonts w:hint="default" w:ascii="Wingdings" w:hAnsi="Wingdings"/>
      </w:rPr>
      <w:start w:val="1"/>
      <w:suff w:val="tab"/>
    </w:lvl>
    <w:lvl w:ilvl="6">
      <w:isLgl w:val="false"/>
      <w:lvlJc w:val="left"/>
      <w:lvlText w:val=""/>
      <w:numFmt w:val="bullet"/>
      <w:pPr>
        <w:pBdr/>
        <w:spacing/>
        <w:ind w:left="5400" w:hanging="360"/>
      </w:pPr>
      <w:rPr>
        <w:rFonts w:hint="default" w:ascii="Symbol" w:hAnsi="Symbol"/>
      </w:rPr>
      <w:start w:val="1"/>
      <w:suff w:val="tab"/>
    </w:lvl>
    <w:lvl w:ilvl="7">
      <w:isLgl w:val="false"/>
      <w:lvlJc w:val="left"/>
      <w:lvlText w:val="o"/>
      <w:numFmt w:val="bullet"/>
      <w:pPr>
        <w:pBdr/>
        <w:spacing/>
        <w:ind w:left="6120" w:hanging="360"/>
      </w:pPr>
      <w:rPr>
        <w:rFonts w:hint="default" w:ascii="Courier New" w:hAnsi="Courier New" w:cs="Courier New"/>
      </w:rPr>
      <w:start w:val="1"/>
      <w:suff w:val="tab"/>
    </w:lvl>
    <w:lvl w:ilvl="8">
      <w:isLgl w:val="false"/>
      <w:lvlJc w:val="left"/>
      <w:lvlText w:val=""/>
      <w:numFmt w:val="bullet"/>
      <w:pPr>
        <w:pBdr/>
        <w:spacing/>
        <w:ind w:left="6840" w:hanging="360"/>
      </w:pPr>
      <w:rPr>
        <w:rFonts w:hint="default" w:ascii="Wingdings" w:hAnsi="Wingdings"/>
      </w:rPr>
      <w:start w:val="1"/>
      <w:suff w:val="tab"/>
    </w:lvl>
  </w:abstractNum>
  <w:abstractNum w:abstractNumId="18">
    <w:nsid w:val="6E5913E8"/>
    <w:lvl w:ilvl="0">
      <w:isLgl w:val="false"/>
      <w:lvlJc w:val="left"/>
      <w:lvlText w:val="-"/>
      <w:numFmt w:val="bullet"/>
      <w:pPr>
        <w:pBdr/>
        <w:spacing/>
        <w:ind w:left="720" w:hanging="360"/>
      </w:pPr>
      <w:rPr>
        <w:rFonts w:hint="default" w:ascii="Calibri" w:hAnsi="Calibri" w:eastAsia="Calibri" w:cs="Calibri"/>
      </w:rPr>
      <w:start w:val="4"/>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19">
    <w:nsid w:val="740A66D4"/>
    <w:lvl w:ilvl="0">
      <w:isLgl w:val="false"/>
      <w:lvlJc w:val="left"/>
      <w:lvlText w:val=""/>
      <w:numFmt w:val="bullet"/>
      <w:pPr>
        <w:pBdr/>
        <w:spacing/>
        <w:ind w:left="720" w:hanging="360"/>
      </w:pPr>
      <w:rPr>
        <w:rFonts w:hint="default" w:ascii="Symbol" w:hAnsi="Symbol"/>
      </w:rPr>
      <w:start w:val="1"/>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20">
    <w:nsid w:val="7E1B279E"/>
    <w:lvl w:ilvl="0">
      <w:isLgl w:val="false"/>
      <w:lvlJc w:val="left"/>
      <w:lvlText w:val="-"/>
      <w:numFmt w:val="bullet"/>
      <w:pPr>
        <w:pBdr/>
        <w:spacing/>
        <w:ind w:left="720" w:hanging="360"/>
      </w:pPr>
      <w:rPr>
        <w:rFonts w:hint="default" w:ascii="Calibri" w:hAnsi="Calibri" w:eastAsia="Calibri" w:cs="Calibri"/>
      </w:rPr>
      <w:start w:val="5"/>
      <w:suff w:val="tab"/>
    </w:lvl>
    <w:lvl w:ilvl="1">
      <w:isLgl w:val="false"/>
      <w:lvlJc w:val="left"/>
      <w:lvlText w:val="o"/>
      <w:numFmt w:val="bullet"/>
      <w:pPr>
        <w:pBdr/>
        <w:spacing/>
        <w:ind w:left="1440" w:hanging="360"/>
      </w:pPr>
      <w:rPr>
        <w:rFonts w:hint="default" w:ascii="Courier New" w:hAnsi="Courier New" w:cs="Courier New"/>
      </w:rPr>
      <w:start w:val="1"/>
      <w:suff w:val="tab"/>
    </w:lvl>
    <w:lvl w:ilvl="2">
      <w:isLgl w:val="false"/>
      <w:lvlJc w:val="left"/>
      <w:lvlText w:val=""/>
      <w:numFmt w:val="bullet"/>
      <w:pPr>
        <w:pBdr/>
        <w:spacing/>
        <w:ind w:left="2160" w:hanging="360"/>
      </w:pPr>
      <w:rPr>
        <w:rFonts w:hint="default" w:ascii="Wingdings" w:hAnsi="Wingdings"/>
      </w:rPr>
      <w:start w:val="1"/>
      <w:suff w:val="tab"/>
    </w:lvl>
    <w:lvl w:ilvl="3">
      <w:isLgl w:val="false"/>
      <w:lvlJc w:val="left"/>
      <w:lvlText w:val=""/>
      <w:numFmt w:val="bullet"/>
      <w:pPr>
        <w:pBdr/>
        <w:spacing/>
        <w:ind w:left="2880" w:hanging="360"/>
      </w:pPr>
      <w:rPr>
        <w:rFonts w:hint="default" w:ascii="Symbol" w:hAnsi="Symbol"/>
      </w:rPr>
      <w:start w:val="1"/>
      <w:suff w:val="tab"/>
    </w:lvl>
    <w:lvl w:ilvl="4">
      <w:isLgl w:val="false"/>
      <w:lvlJc w:val="left"/>
      <w:lvlText w:val="o"/>
      <w:numFmt w:val="bullet"/>
      <w:pPr>
        <w:pBdr/>
        <w:spacing/>
        <w:ind w:left="3600" w:hanging="360"/>
      </w:pPr>
      <w:rPr>
        <w:rFonts w:hint="default" w:ascii="Courier New" w:hAnsi="Courier New" w:cs="Courier New"/>
      </w:rPr>
      <w:start w:val="1"/>
      <w:suff w:val="tab"/>
    </w:lvl>
    <w:lvl w:ilvl="5">
      <w:isLgl w:val="false"/>
      <w:lvlJc w:val="left"/>
      <w:lvlText w:val=""/>
      <w:numFmt w:val="bullet"/>
      <w:pPr>
        <w:pBdr/>
        <w:spacing/>
        <w:ind w:left="4320" w:hanging="360"/>
      </w:pPr>
      <w:rPr>
        <w:rFonts w:hint="default" w:ascii="Wingdings" w:hAnsi="Wingdings"/>
      </w:rPr>
      <w:start w:val="1"/>
      <w:suff w:val="tab"/>
    </w:lvl>
    <w:lvl w:ilvl="6">
      <w:isLgl w:val="false"/>
      <w:lvlJc w:val="left"/>
      <w:lvlText w:val=""/>
      <w:numFmt w:val="bullet"/>
      <w:pPr>
        <w:pBdr/>
        <w:spacing/>
        <w:ind w:left="5040" w:hanging="360"/>
      </w:pPr>
      <w:rPr>
        <w:rFonts w:hint="default" w:ascii="Symbol" w:hAnsi="Symbol"/>
      </w:rPr>
      <w:start w:val="1"/>
      <w:suff w:val="tab"/>
    </w:lvl>
    <w:lvl w:ilvl="7">
      <w:isLgl w:val="false"/>
      <w:lvlJc w:val="left"/>
      <w:lvlText w:val="o"/>
      <w:numFmt w:val="bullet"/>
      <w:pPr>
        <w:pBdr/>
        <w:spacing/>
        <w:ind w:left="5760" w:hanging="360"/>
      </w:pPr>
      <w:rPr>
        <w:rFonts w:hint="default" w:ascii="Courier New" w:hAnsi="Courier New" w:cs="Courier New"/>
      </w:rPr>
      <w:start w:val="1"/>
      <w:suff w:val="tab"/>
    </w:lvl>
    <w:lvl w:ilvl="8">
      <w:isLgl w:val="false"/>
      <w:lvlJc w:val="left"/>
      <w:lvlText w:val=""/>
      <w:numFmt w:val="bullet"/>
      <w:pPr>
        <w:pBdr/>
        <w:spacing/>
        <w:ind w:left="6480" w:hanging="360"/>
      </w:pPr>
      <w:rPr>
        <w:rFonts w:hint="default" w:ascii="Wingdings" w:hAnsi="Wingdings"/>
      </w:rPr>
      <w:start w:val="1"/>
      <w:suff w:val="tab"/>
    </w:lvl>
  </w:abstractNum>
  <w:abstractNum w:abstractNumId="21">
    <w:nsid w:val="0DB407AA"/>
    <w:lvl w:ilvl="0">
      <w:isLgl w:val="false"/>
      <w:lvlJc w:val="left"/>
      <w:lvlText w:val="·"/>
      <w:numFmt w:val="bullet"/>
      <w:pPr>
        <w:pBdr/>
        <w:spacing/>
        <w:ind w:left="709" w:hanging="360"/>
      </w:pPr>
      <w:rPr>
        <w:rFonts w:hint="default" w:ascii="Symbol" w:hAnsi="Symbol" w:eastAsia="Symbol" w:cs="Symbol"/>
      </w:rPr>
      <w:start w:val="1"/>
      <w:suff w:val="tab"/>
    </w:lvl>
    <w:lvl w:ilvl="1">
      <w:isLgl w:val="false"/>
      <w:lvlJc w:val="left"/>
      <w:lvlText w:val="o"/>
      <w:numFmt w:val="bullet"/>
      <w:pPr>
        <w:pBdr/>
        <w:spacing/>
        <w:ind w:left="1429" w:hanging="360"/>
      </w:pPr>
      <w:rPr>
        <w:rFonts w:hint="default" w:ascii="Courier New" w:hAnsi="Courier New" w:eastAsia="Courier New" w:cs="Courier New"/>
      </w:rPr>
      <w:start w:val="1"/>
      <w:suff w:val="tab"/>
    </w:lvl>
    <w:lvl w:ilvl="2">
      <w:isLgl w:val="false"/>
      <w:lvlJc w:val="left"/>
      <w:lvlText w:val="§"/>
      <w:numFmt w:val="bullet"/>
      <w:pPr>
        <w:pBdr/>
        <w:spacing/>
        <w:ind w:left="2149" w:hanging="360"/>
      </w:pPr>
      <w:rPr>
        <w:rFonts w:hint="default" w:ascii="Wingdings" w:hAnsi="Wingdings" w:eastAsia="Wingdings" w:cs="Wingdings"/>
      </w:rPr>
      <w:start w:val="1"/>
      <w:suff w:val="tab"/>
    </w:lvl>
    <w:lvl w:ilvl="3">
      <w:isLgl w:val="false"/>
      <w:lvlJc w:val="left"/>
      <w:lvlText w:val="·"/>
      <w:numFmt w:val="bullet"/>
      <w:pPr>
        <w:pBdr/>
        <w:spacing/>
        <w:ind w:left="2869" w:hanging="360"/>
      </w:pPr>
      <w:rPr>
        <w:rFonts w:hint="default" w:ascii="Symbol" w:hAnsi="Symbol" w:eastAsia="Symbol" w:cs="Symbol"/>
      </w:rPr>
      <w:start w:val="1"/>
      <w:suff w:val="tab"/>
    </w:lvl>
    <w:lvl w:ilvl="4">
      <w:isLgl w:val="false"/>
      <w:lvlJc w:val="left"/>
      <w:lvlText w:val="o"/>
      <w:numFmt w:val="bullet"/>
      <w:pPr>
        <w:pBdr/>
        <w:spacing/>
        <w:ind w:left="3589" w:hanging="360"/>
      </w:pPr>
      <w:rPr>
        <w:rFonts w:hint="default" w:ascii="Courier New" w:hAnsi="Courier New" w:eastAsia="Courier New" w:cs="Courier New"/>
      </w:rPr>
      <w:start w:val="1"/>
      <w:suff w:val="tab"/>
    </w:lvl>
    <w:lvl w:ilvl="5">
      <w:isLgl w:val="false"/>
      <w:lvlJc w:val="left"/>
      <w:lvlText w:val="§"/>
      <w:numFmt w:val="bullet"/>
      <w:pPr>
        <w:pBdr/>
        <w:spacing/>
        <w:ind w:left="4309" w:hanging="360"/>
      </w:pPr>
      <w:rPr>
        <w:rFonts w:hint="default" w:ascii="Wingdings" w:hAnsi="Wingdings" w:eastAsia="Wingdings" w:cs="Wingdings"/>
      </w:rPr>
      <w:start w:val="1"/>
      <w:suff w:val="tab"/>
    </w:lvl>
    <w:lvl w:ilvl="6">
      <w:isLgl w:val="false"/>
      <w:lvlJc w:val="left"/>
      <w:lvlText w:val="·"/>
      <w:numFmt w:val="bullet"/>
      <w:pPr>
        <w:pBdr/>
        <w:spacing/>
        <w:ind w:left="5029" w:hanging="360"/>
      </w:pPr>
      <w:rPr>
        <w:rFonts w:hint="default" w:ascii="Symbol" w:hAnsi="Symbol" w:eastAsia="Symbol" w:cs="Symbol"/>
      </w:rPr>
      <w:start w:val="1"/>
      <w:suff w:val="tab"/>
    </w:lvl>
    <w:lvl w:ilvl="7">
      <w:isLgl w:val="false"/>
      <w:lvlJc w:val="left"/>
      <w:lvlText w:val="o"/>
      <w:numFmt w:val="bullet"/>
      <w:pPr>
        <w:pBdr/>
        <w:spacing/>
        <w:ind w:left="5749" w:hanging="360"/>
      </w:pPr>
      <w:rPr>
        <w:rFonts w:hint="default" w:ascii="Courier New" w:hAnsi="Courier New" w:eastAsia="Courier New" w:cs="Courier New"/>
      </w:rPr>
      <w:start w:val="1"/>
      <w:suff w:val="tab"/>
    </w:lvl>
    <w:lvl w:ilvl="8">
      <w:isLgl w:val="false"/>
      <w:lvlJc w:val="left"/>
      <w:lvlText w:val="§"/>
      <w:numFmt w:val="bullet"/>
      <w:pPr>
        <w:pBdr/>
        <w:spacing/>
        <w:ind w:left="6469" w:hanging="360"/>
      </w:pPr>
      <w:rPr>
        <w:rFonts w:hint="default" w:ascii="Wingdings" w:hAnsi="Wingdings" w:eastAsia="Wingdings" w:cs="Wingdings"/>
      </w:rPr>
      <w:start w:val="1"/>
      <w:suff w:val="tab"/>
    </w:lvl>
  </w:abstractNum>
  <w:num w:numId="1">
    <w:abstractNumId w:val="0"/>
  </w:num>
  <w:num w:numId="2">
    <w:abstractNumId w:val="10"/>
  </w:num>
  <w:num w:numId="3">
    <w:abstractNumId w:val="2"/>
  </w:num>
  <w:num w:numId="4">
    <w:abstractNumId w:val="12"/>
  </w:num>
  <w:num w:numId="5">
    <w:abstractNumId w:val="5"/>
  </w:num>
  <w:num w:numId="6">
    <w:abstractNumId w:val="8"/>
  </w:num>
  <w:num w:numId="7">
    <w:abstractNumId w:val="13"/>
  </w:num>
  <w:num w:numId="8">
    <w:abstractNumId w:val="4"/>
  </w:num>
  <w:num w:numId="9">
    <w:abstractNumId w:val="20"/>
  </w:num>
  <w:num w:numId="10">
    <w:abstractNumId w:val="14"/>
  </w:num>
  <w:num w:numId="11">
    <w:abstractNumId w:val="15"/>
  </w:num>
  <w:num w:numId="12">
    <w:abstractNumId w:val="18"/>
  </w:num>
  <w:num w:numId="13">
    <w:abstractNumId w:val="7"/>
  </w:num>
  <w:num w:numId="14">
    <w:abstractNumId w:val="9"/>
  </w:num>
  <w:num w:numId="15">
    <w:abstractNumId w:val="3"/>
  </w:num>
  <w:num w:numId="16">
    <w:abstractNumId w:val="1"/>
  </w:num>
  <w:num w:numId="17">
    <w:abstractNumId w:val="16"/>
  </w:num>
  <w:num w:numId="18">
    <w:abstractNumId w:val="17"/>
  </w:num>
  <w:num w:numId="19">
    <w:abstractNumId w:val="11"/>
  </w:num>
  <w:num w:numId="20">
    <w:abstractNumId w:val="19"/>
  </w:num>
  <w:num w:numId="21">
    <w:abstractNumId w:val="6"/>
  </w:num>
  <w:num w:numId="22">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8092DC"/>
    <w:rsid w:val="0EFB34D2"/>
    <w:rsid w:val="277AF447"/>
    <w:rsid w:val="2AAA7A7F"/>
    <w:rsid w:val="2C8092DC"/>
    <w:rsid w:val="457A873D"/>
    <w:rsid w:val="5E0265BD"/>
    <w:rsid w:val="797EBAAE"/>
  </w:rsids>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14:docId w14:val="3EC0BBF1"/>
  <w15:docId w15:val="{22EE1B1A-585A-4B3D-9FE8-DC7A14D8D1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hint="default" w:ascii="Calibri" w:hAnsi="Calibri" w:eastAsia="Calibri" w:cs="Times New Roman"/>
        <w:lang w:val="hr-HR" w:eastAsia="hr-HR" w:bidi="ar-SA"/>
      </w:rPr>
    </w:rPrDefault>
    <w:pPrDefault>
      <w:pPr>
        <w:pBdr/>
        <w:spacing/>
        <w:ind/>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table" w:styleId="13">
    <w:name w:val="Table Grid Light"/>
    <w:basedOn w:val="83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3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3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3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3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3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3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3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3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3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3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3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3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3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3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3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3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3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3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3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3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3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3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3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3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3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3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3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3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3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3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3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3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3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3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3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3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3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3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3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3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3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3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3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3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3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3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3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3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3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3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3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3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3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3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3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3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3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3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3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3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3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3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3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3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3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3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3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3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3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3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3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3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3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3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3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3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3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3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3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3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3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3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3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3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3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3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3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3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2">
    <w:name w:val="Heading 4"/>
    <w:basedOn w:val="829"/>
    <w:next w:val="829"/>
    <w:link w:val="153"/>
    <w:uiPriority w:val="9"/>
    <w:unhideWhenUsed/>
    <w:qFormat/>
    <w:pPr>
      <w:keepNext w:val="true"/>
      <w:keepLines w:val="true"/>
      <w:pBdr/>
      <w:spacing w:before="80" w:after="40"/>
      <w:ind/>
      <w:outlineLvl w:val="3"/>
    </w:pPr>
    <w:rPr>
      <w:rFonts w:ascii="Arial" w:hAnsi="Arial" w:eastAsia="Arial" w:cs="Arial"/>
      <w:i/>
      <w:iCs/>
      <w:color w:val="0f4761" w:themeColor="accent1" w:themeShade="BF"/>
    </w:rPr>
  </w:style>
  <w:style w:type="paragraph" w:styleId="143">
    <w:name w:val="Heading 5"/>
    <w:basedOn w:val="829"/>
    <w:next w:val="829"/>
    <w:link w:val="154"/>
    <w:uiPriority w:val="9"/>
    <w:unhideWhenUsed/>
    <w:qFormat/>
    <w:pPr>
      <w:keepNext w:val="true"/>
      <w:keepLines w:val="true"/>
      <w:pBdr/>
      <w:spacing w:before="80" w:after="40"/>
      <w:ind/>
      <w:outlineLvl w:val="4"/>
    </w:pPr>
    <w:rPr>
      <w:rFonts w:ascii="Arial" w:hAnsi="Arial" w:eastAsia="Arial" w:cs="Arial"/>
      <w:color w:val="0f4761" w:themeColor="accent1" w:themeShade="BF"/>
    </w:rPr>
  </w:style>
  <w:style w:type="paragraph" w:styleId="144">
    <w:name w:val="Heading 6"/>
    <w:basedOn w:val="829"/>
    <w:next w:val="829"/>
    <w:link w:val="155"/>
    <w:uiPriority w:val="9"/>
    <w:unhideWhenUsed/>
    <w:qFormat/>
    <w:pPr>
      <w:keepNext w:val="true"/>
      <w:keepLines w:val="true"/>
      <w:pBdr/>
      <w:spacing w:before="40" w:after="0"/>
      <w:ind/>
      <w:outlineLvl w:val="5"/>
    </w:pPr>
    <w:rPr>
      <w:rFonts w:ascii="Arial" w:hAnsi="Arial" w:eastAsia="Arial" w:cs="Arial"/>
      <w:i/>
      <w:iCs/>
      <w:color w:val="595959" w:themeColor="text1" w:themeTint="A6"/>
    </w:rPr>
  </w:style>
  <w:style w:type="paragraph" w:styleId="145">
    <w:name w:val="Heading 7"/>
    <w:basedOn w:val="829"/>
    <w:next w:val="829"/>
    <w:link w:val="156"/>
    <w:uiPriority w:val="9"/>
    <w:unhideWhenUsed/>
    <w:qFormat/>
    <w:pPr>
      <w:keepNext w:val="true"/>
      <w:keepLines w:val="true"/>
      <w:pBdr/>
      <w:spacing w:before="40" w:after="0"/>
      <w:ind/>
      <w:outlineLvl w:val="6"/>
    </w:pPr>
    <w:rPr>
      <w:rFonts w:ascii="Arial" w:hAnsi="Arial" w:eastAsia="Arial" w:cs="Arial"/>
      <w:color w:val="595959" w:themeColor="text1" w:themeTint="A6"/>
    </w:rPr>
  </w:style>
  <w:style w:type="paragraph" w:styleId="146">
    <w:name w:val="Heading 8"/>
    <w:basedOn w:val="829"/>
    <w:next w:val="829"/>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29"/>
    <w:next w:val="829"/>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3">
    <w:name w:val="Heading 4 Char"/>
    <w:basedOn w:val="833"/>
    <w:link w:val="142"/>
    <w:uiPriority w:val="9"/>
    <w:pPr>
      <w:pBdr/>
      <w:spacing/>
      <w:ind/>
    </w:pPr>
    <w:rPr>
      <w:rFonts w:ascii="Arial" w:hAnsi="Arial" w:eastAsia="Arial" w:cs="Arial"/>
      <w:i/>
      <w:iCs/>
      <w:color w:val="0f4761" w:themeColor="accent1" w:themeShade="BF"/>
    </w:rPr>
  </w:style>
  <w:style w:type="character" w:styleId="154">
    <w:name w:val="Heading 5 Char"/>
    <w:basedOn w:val="833"/>
    <w:link w:val="143"/>
    <w:uiPriority w:val="9"/>
    <w:pPr>
      <w:pBdr/>
      <w:spacing/>
      <w:ind/>
    </w:pPr>
    <w:rPr>
      <w:rFonts w:ascii="Arial" w:hAnsi="Arial" w:eastAsia="Arial" w:cs="Arial"/>
      <w:color w:val="0f4761" w:themeColor="accent1" w:themeShade="BF"/>
    </w:rPr>
  </w:style>
  <w:style w:type="character" w:styleId="155">
    <w:name w:val="Heading 6 Char"/>
    <w:basedOn w:val="833"/>
    <w:link w:val="144"/>
    <w:uiPriority w:val="9"/>
    <w:pPr>
      <w:pBdr/>
      <w:spacing/>
      <w:ind/>
    </w:pPr>
    <w:rPr>
      <w:rFonts w:ascii="Arial" w:hAnsi="Arial" w:eastAsia="Arial" w:cs="Arial"/>
      <w:i/>
      <w:iCs/>
      <w:color w:val="595959" w:themeColor="text1" w:themeTint="A6"/>
    </w:rPr>
  </w:style>
  <w:style w:type="character" w:styleId="156">
    <w:name w:val="Heading 7 Char"/>
    <w:basedOn w:val="833"/>
    <w:link w:val="145"/>
    <w:uiPriority w:val="9"/>
    <w:pPr>
      <w:pBdr/>
      <w:spacing/>
      <w:ind/>
    </w:pPr>
    <w:rPr>
      <w:rFonts w:ascii="Arial" w:hAnsi="Arial" w:eastAsia="Arial" w:cs="Arial"/>
      <w:color w:val="595959" w:themeColor="text1" w:themeTint="A6"/>
    </w:rPr>
  </w:style>
  <w:style w:type="character" w:styleId="157">
    <w:name w:val="Heading 8 Char"/>
    <w:basedOn w:val="833"/>
    <w:link w:val="146"/>
    <w:uiPriority w:val="9"/>
    <w:pPr>
      <w:pBdr/>
      <w:spacing/>
      <w:ind/>
    </w:pPr>
    <w:rPr>
      <w:rFonts w:ascii="Arial" w:hAnsi="Arial" w:eastAsia="Arial" w:cs="Arial"/>
      <w:i/>
      <w:iCs/>
      <w:color w:val="272727" w:themeColor="text1" w:themeTint="D8"/>
    </w:rPr>
  </w:style>
  <w:style w:type="character" w:styleId="158">
    <w:name w:val="Heading 9 Char"/>
    <w:basedOn w:val="833"/>
    <w:link w:val="147"/>
    <w:uiPriority w:val="9"/>
    <w:pPr>
      <w:pBdr/>
      <w:spacing/>
      <w:ind/>
    </w:pPr>
    <w:rPr>
      <w:rFonts w:ascii="Arial" w:hAnsi="Arial" w:eastAsia="Arial" w:cs="Arial"/>
      <w:i/>
      <w:iCs/>
      <w:color w:val="272727" w:themeColor="text1" w:themeTint="D8"/>
    </w:rPr>
  </w:style>
  <w:style w:type="paragraph" w:styleId="159">
    <w:name w:val="Title"/>
    <w:basedOn w:val="829"/>
    <w:next w:val="829"/>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33"/>
    <w:link w:val="159"/>
    <w:uiPriority w:val="10"/>
    <w:pPr>
      <w:pBdr/>
      <w:spacing/>
      <w:ind/>
    </w:pPr>
    <w:rPr>
      <w:rFonts w:ascii="Arial" w:hAnsi="Arial" w:eastAsia="Arial" w:cs="Arial"/>
      <w:spacing w:val="-10"/>
      <w:sz w:val="56"/>
      <w:szCs w:val="56"/>
    </w:rPr>
  </w:style>
  <w:style w:type="paragraph" w:styleId="161">
    <w:name w:val="Subtitle"/>
    <w:basedOn w:val="829"/>
    <w:next w:val="829"/>
    <w:link w:val="162"/>
    <w:uiPriority w:val="11"/>
    <w:qFormat/>
    <w:pPr>
      <w:numPr>
        <w:ilvl w:val="1"/>
      </w:numPr>
      <w:pBdr/>
      <w:spacing/>
      <w:ind/>
    </w:pPr>
    <w:rPr>
      <w:color w:val="595959" w:themeColor="text1" w:themeTint="A6"/>
      <w:spacing w:val="15"/>
      <w:sz w:val="28"/>
      <w:szCs w:val="28"/>
    </w:rPr>
  </w:style>
  <w:style w:type="character" w:styleId="162">
    <w:name w:val="Subtitle Char"/>
    <w:basedOn w:val="833"/>
    <w:link w:val="161"/>
    <w:uiPriority w:val="11"/>
    <w:pPr>
      <w:pBdr/>
      <w:spacing/>
      <w:ind/>
    </w:pPr>
    <w:rPr>
      <w:color w:val="595959" w:themeColor="text1" w:themeTint="A6"/>
      <w:spacing w:val="15"/>
      <w:sz w:val="28"/>
      <w:szCs w:val="28"/>
    </w:rPr>
  </w:style>
  <w:style w:type="paragraph" w:styleId="163">
    <w:name w:val="Quote"/>
    <w:basedOn w:val="829"/>
    <w:next w:val="829"/>
    <w:link w:val="164"/>
    <w:uiPriority w:val="29"/>
    <w:qFormat/>
    <w:pPr>
      <w:pBdr/>
      <w:spacing w:before="160"/>
      <w:ind/>
      <w:jc w:val="center"/>
    </w:pPr>
    <w:rPr>
      <w:i/>
      <w:iCs/>
      <w:color w:val="404040" w:themeColor="text1" w:themeTint="BF"/>
    </w:rPr>
  </w:style>
  <w:style w:type="character" w:styleId="164">
    <w:name w:val="Quote Char"/>
    <w:basedOn w:val="833"/>
    <w:link w:val="163"/>
    <w:uiPriority w:val="29"/>
    <w:pPr>
      <w:pBdr/>
      <w:spacing/>
      <w:ind/>
    </w:pPr>
    <w:rPr>
      <w:i/>
      <w:iCs/>
      <w:color w:val="404040" w:themeColor="text1" w:themeTint="BF"/>
    </w:rPr>
  </w:style>
  <w:style w:type="character" w:styleId="166">
    <w:name w:val="Intense Emphasis"/>
    <w:basedOn w:val="833"/>
    <w:uiPriority w:val="21"/>
    <w:qFormat/>
    <w:pPr>
      <w:pBdr/>
      <w:spacing/>
      <w:ind/>
    </w:pPr>
    <w:rPr>
      <w:i/>
      <w:iCs/>
      <w:color w:val="0f4761" w:themeColor="accent1" w:themeShade="BF"/>
    </w:rPr>
  </w:style>
  <w:style w:type="paragraph" w:styleId="167">
    <w:name w:val="Intense Quote"/>
    <w:basedOn w:val="829"/>
    <w:next w:val="829"/>
    <w:link w:val="168"/>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168">
    <w:name w:val="Intense Quote Char"/>
    <w:basedOn w:val="833"/>
    <w:link w:val="167"/>
    <w:uiPriority w:val="30"/>
    <w:pPr>
      <w:pBdr/>
      <w:spacing/>
      <w:ind/>
    </w:pPr>
    <w:rPr>
      <w:i/>
      <w:iCs/>
      <w:color w:val="0f4761" w:themeColor="accent1" w:themeShade="BF"/>
    </w:rPr>
  </w:style>
  <w:style w:type="character" w:styleId="169">
    <w:name w:val="Intense Reference"/>
    <w:basedOn w:val="833"/>
    <w:uiPriority w:val="32"/>
    <w:qFormat/>
    <w:pPr>
      <w:pBdr/>
      <w:spacing/>
      <w:ind/>
    </w:pPr>
    <w:rPr>
      <w:b/>
      <w:bCs/>
      <w:smallCaps/>
      <w:color w:val="0f4761" w:themeColor="accent1" w:themeShade="BF"/>
      <w:spacing w:val="5"/>
    </w:rPr>
  </w:style>
  <w:style w:type="paragraph" w:styleId="170">
    <w:name w:val="No Spacing"/>
    <w:basedOn w:val="829"/>
    <w:uiPriority w:val="1"/>
    <w:qFormat/>
    <w:pPr>
      <w:pBdr/>
      <w:spacing w:after="0" w:line="240" w:lineRule="auto"/>
      <w:ind/>
    </w:pPr>
  </w:style>
  <w:style w:type="character" w:styleId="171">
    <w:name w:val="Subtle Emphasis"/>
    <w:basedOn w:val="833"/>
    <w:uiPriority w:val="19"/>
    <w:qFormat/>
    <w:pPr>
      <w:pBdr/>
      <w:spacing/>
      <w:ind/>
    </w:pPr>
    <w:rPr>
      <w:i/>
      <w:iCs/>
      <w:color w:val="404040" w:themeColor="text1" w:themeTint="BF"/>
    </w:rPr>
  </w:style>
  <w:style w:type="character" w:styleId="172">
    <w:name w:val="Emphasis"/>
    <w:basedOn w:val="833"/>
    <w:uiPriority w:val="20"/>
    <w:qFormat/>
    <w:pPr>
      <w:pBdr/>
      <w:spacing/>
      <w:ind/>
    </w:pPr>
    <w:rPr>
      <w:i/>
      <w:iCs/>
    </w:rPr>
  </w:style>
  <w:style w:type="character" w:styleId="173">
    <w:name w:val="Strong"/>
    <w:basedOn w:val="833"/>
    <w:uiPriority w:val="22"/>
    <w:qFormat/>
    <w:pPr>
      <w:pBdr/>
      <w:spacing/>
      <w:ind/>
    </w:pPr>
    <w:rPr>
      <w:b/>
      <w:bCs/>
    </w:rPr>
  </w:style>
  <w:style w:type="character" w:styleId="174">
    <w:name w:val="Subtle Reference"/>
    <w:basedOn w:val="833"/>
    <w:uiPriority w:val="31"/>
    <w:qFormat/>
    <w:pPr>
      <w:pBdr/>
      <w:spacing/>
      <w:ind/>
    </w:pPr>
    <w:rPr>
      <w:smallCaps/>
      <w:color w:val="5a5a5a" w:themeColor="text1" w:themeTint="A5"/>
    </w:rPr>
  </w:style>
  <w:style w:type="character" w:styleId="175">
    <w:name w:val="Book Title"/>
    <w:basedOn w:val="833"/>
    <w:uiPriority w:val="33"/>
    <w:qFormat/>
    <w:pPr>
      <w:pBdr/>
      <w:spacing/>
      <w:ind/>
    </w:pPr>
    <w:rPr>
      <w:b/>
      <w:bCs/>
      <w:i/>
      <w:iCs/>
      <w:spacing w:val="5"/>
    </w:rPr>
  </w:style>
  <w:style w:type="paragraph" w:styleId="180">
    <w:name w:val="Caption"/>
    <w:basedOn w:val="829"/>
    <w:next w:val="829"/>
    <w:uiPriority w:val="35"/>
    <w:unhideWhenUsed/>
    <w:qFormat/>
    <w:pPr>
      <w:pBdr/>
      <w:spacing w:after="200" w:line="240" w:lineRule="auto"/>
      <w:ind/>
    </w:pPr>
    <w:rPr>
      <w:i/>
      <w:iCs/>
      <w:color w:val="0e2841" w:themeColor="text2"/>
      <w:sz w:val="18"/>
      <w:szCs w:val="18"/>
    </w:rPr>
  </w:style>
  <w:style w:type="paragraph" w:styleId="181">
    <w:name w:val="footnote text"/>
    <w:basedOn w:val="829"/>
    <w:link w:val="182"/>
    <w:uiPriority w:val="99"/>
    <w:semiHidden/>
    <w:unhideWhenUsed/>
    <w:pPr>
      <w:pBdr/>
      <w:spacing w:after="0" w:line="240" w:lineRule="auto"/>
      <w:ind/>
    </w:pPr>
    <w:rPr>
      <w:sz w:val="20"/>
      <w:szCs w:val="20"/>
    </w:rPr>
  </w:style>
  <w:style w:type="character" w:styleId="182">
    <w:name w:val="Footnote Text Char"/>
    <w:basedOn w:val="833"/>
    <w:link w:val="181"/>
    <w:uiPriority w:val="99"/>
    <w:semiHidden/>
    <w:pPr>
      <w:pBdr/>
      <w:spacing/>
      <w:ind/>
    </w:pPr>
    <w:rPr>
      <w:sz w:val="20"/>
      <w:szCs w:val="20"/>
    </w:rPr>
  </w:style>
  <w:style w:type="character" w:styleId="183">
    <w:name w:val="footnote reference"/>
    <w:basedOn w:val="833"/>
    <w:uiPriority w:val="99"/>
    <w:semiHidden/>
    <w:unhideWhenUsed/>
    <w:pPr>
      <w:pBdr/>
      <w:spacing/>
      <w:ind/>
    </w:pPr>
    <w:rPr>
      <w:vertAlign w:val="superscript"/>
    </w:rPr>
  </w:style>
  <w:style w:type="paragraph" w:styleId="184">
    <w:name w:val="endnote text"/>
    <w:basedOn w:val="829"/>
    <w:link w:val="185"/>
    <w:uiPriority w:val="99"/>
    <w:semiHidden/>
    <w:unhideWhenUsed/>
    <w:pPr>
      <w:pBdr/>
      <w:spacing w:after="0" w:line="240" w:lineRule="auto"/>
      <w:ind/>
    </w:pPr>
    <w:rPr>
      <w:sz w:val="20"/>
      <w:szCs w:val="20"/>
    </w:rPr>
  </w:style>
  <w:style w:type="character" w:styleId="185">
    <w:name w:val="Endnote Text Char"/>
    <w:basedOn w:val="833"/>
    <w:link w:val="184"/>
    <w:uiPriority w:val="99"/>
    <w:semiHidden/>
    <w:pPr>
      <w:pBdr/>
      <w:spacing/>
      <w:ind/>
    </w:pPr>
    <w:rPr>
      <w:sz w:val="20"/>
      <w:szCs w:val="20"/>
    </w:rPr>
  </w:style>
  <w:style w:type="character" w:styleId="186">
    <w:name w:val="endnote reference"/>
    <w:basedOn w:val="833"/>
    <w:uiPriority w:val="99"/>
    <w:semiHidden/>
    <w:unhideWhenUsed/>
    <w:pPr>
      <w:pBdr/>
      <w:spacing/>
      <w:ind/>
    </w:pPr>
    <w:rPr>
      <w:vertAlign w:val="superscript"/>
    </w:rPr>
  </w:style>
  <w:style w:type="character" w:styleId="198">
    <w:name w:val="Placeholder Text"/>
    <w:basedOn w:val="833"/>
    <w:uiPriority w:val="99"/>
    <w:semiHidden/>
    <w:pPr>
      <w:pBdr/>
      <w:spacing/>
      <w:ind/>
    </w:pPr>
    <w:rPr>
      <w:color w:val="666666"/>
    </w:rPr>
  </w:style>
  <w:style w:type="paragraph" w:styleId="209">
    <w:name w:val="table of figures"/>
    <w:basedOn w:val="829"/>
    <w:next w:val="829"/>
    <w:uiPriority w:val="99"/>
    <w:unhideWhenUsed/>
    <w:pPr>
      <w:pBdr/>
      <w:spacing w:after="0" w:afterAutospacing="0"/>
      <w:ind/>
    </w:pPr>
  </w:style>
  <w:style w:type="paragraph" w:styleId="829" w:default="1">
    <w:name w:val="Normal"/>
    <w:qFormat/>
    <w:pPr>
      <w:pBdr/>
      <w:spacing w:after="200" w:line="276" w:lineRule="auto"/>
      <w:ind/>
    </w:pPr>
    <w:rPr>
      <w:sz w:val="22"/>
      <w:szCs w:val="22"/>
      <w:lang w:val="en-GB" w:eastAsia="en-US"/>
    </w:rPr>
  </w:style>
  <w:style w:type="paragraph" w:styleId="830">
    <w:name w:val="Heading 1"/>
    <w:basedOn w:val="829"/>
    <w:next w:val="829"/>
    <w:link w:val="842"/>
    <w:uiPriority w:val="9"/>
    <w:qFormat/>
    <w:pPr>
      <w:numPr>
        <w:numId w:val="1"/>
      </w:numPr>
      <w:pBdr/>
      <w:spacing/>
      <w:ind/>
      <w:outlineLvl w:val="0"/>
    </w:pPr>
    <w:rPr>
      <w:b/>
      <w:sz w:val="28"/>
      <w:szCs w:val="28"/>
    </w:rPr>
  </w:style>
  <w:style w:type="paragraph" w:styleId="831">
    <w:name w:val="Heading 2"/>
    <w:basedOn w:val="829"/>
    <w:next w:val="829"/>
    <w:link w:val="850"/>
    <w:uiPriority w:val="9"/>
    <w:unhideWhenUsed/>
    <w:qFormat/>
    <w:pPr>
      <w:numPr>
        <w:ilvl w:val="1"/>
        <w:numId w:val="1"/>
      </w:numPr>
      <w:pBdr/>
      <w:spacing/>
      <w:ind/>
      <w:outlineLvl w:val="1"/>
    </w:pPr>
    <w:rPr>
      <w:b/>
      <w:sz w:val="24"/>
      <w:szCs w:val="24"/>
    </w:rPr>
  </w:style>
  <w:style w:type="paragraph" w:styleId="832">
    <w:name w:val="Heading 3"/>
    <w:basedOn w:val="829"/>
    <w:next w:val="829"/>
    <w:link w:val="851"/>
    <w:uiPriority w:val="9"/>
    <w:unhideWhenUsed/>
    <w:qFormat/>
    <w:pPr>
      <w:numPr>
        <w:ilvl w:val="2"/>
        <w:numId w:val="1"/>
      </w:numPr>
      <w:pBdr/>
      <w:spacing/>
      <w:ind/>
      <w:outlineLvl w:val="2"/>
    </w:pPr>
    <w:rPr>
      <w:b/>
      <w:i/>
    </w:rPr>
  </w:style>
  <w:style w:type="character" w:styleId="833" w:default="1">
    <w:name w:val="Default Paragraph Font"/>
    <w:uiPriority w:val="1"/>
    <w:semiHidden/>
    <w:unhideWhenUsed/>
    <w:pPr>
      <w:pBdr/>
      <w:spacing/>
      <w:ind/>
    </w:pPr>
  </w:style>
  <w:style w:type="table" w:styleId="83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5" w:default="1">
    <w:name w:val="No List"/>
    <w:uiPriority w:val="99"/>
    <w:semiHidden/>
    <w:unhideWhenUsed/>
    <w:pPr>
      <w:pBdr/>
      <w:spacing/>
      <w:ind/>
    </w:pPr>
  </w:style>
  <w:style w:type="table" w:styleId="836">
    <w:name w:val="Table Grid"/>
    <w:basedOn w:val="834"/>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7">
    <w:name w:val="Header"/>
    <w:basedOn w:val="829"/>
    <w:link w:val="838"/>
    <w:uiPriority w:val="99"/>
    <w:unhideWhenUsed/>
    <w:pPr>
      <w:pBdr/>
      <w:tabs>
        <w:tab w:val="center" w:leader="none" w:pos="4536"/>
        <w:tab w:val="right" w:leader="none" w:pos="9072"/>
      </w:tabs>
      <w:spacing/>
      <w:ind/>
    </w:pPr>
  </w:style>
  <w:style w:type="character" w:styleId="838" w:customStyle="1">
    <w:name w:val="Header Char"/>
    <w:link w:val="837"/>
    <w:uiPriority w:val="99"/>
    <w:pPr>
      <w:pBdr/>
      <w:spacing/>
      <w:ind/>
    </w:pPr>
    <w:rPr>
      <w:sz w:val="22"/>
      <w:szCs w:val="22"/>
      <w:lang w:val="en-GB" w:eastAsia="en-US"/>
    </w:rPr>
  </w:style>
  <w:style w:type="paragraph" w:styleId="839">
    <w:name w:val="Footer"/>
    <w:basedOn w:val="829"/>
    <w:link w:val="840"/>
    <w:uiPriority w:val="99"/>
    <w:unhideWhenUsed/>
    <w:pPr>
      <w:pBdr/>
      <w:tabs>
        <w:tab w:val="center" w:leader="none" w:pos="4536"/>
        <w:tab w:val="right" w:leader="none" w:pos="9072"/>
      </w:tabs>
      <w:spacing/>
      <w:ind/>
    </w:pPr>
  </w:style>
  <w:style w:type="character" w:styleId="840" w:customStyle="1">
    <w:name w:val="Footer Char"/>
    <w:link w:val="839"/>
    <w:uiPriority w:val="99"/>
    <w:pPr>
      <w:pBdr/>
      <w:spacing/>
      <w:ind/>
    </w:pPr>
    <w:rPr>
      <w:sz w:val="22"/>
      <w:szCs w:val="22"/>
      <w:lang w:val="en-GB" w:eastAsia="en-US"/>
    </w:rPr>
  </w:style>
  <w:style w:type="character" w:styleId="841">
    <w:name w:val="Hyperlink"/>
    <w:uiPriority w:val="99"/>
    <w:unhideWhenUsed/>
    <w:pPr>
      <w:pBdr/>
      <w:spacing/>
      <w:ind/>
    </w:pPr>
    <w:rPr>
      <w:color w:val="0000ff"/>
      <w:u w:val="single"/>
      <w:lang w:val="en-GB"/>
    </w:rPr>
  </w:style>
  <w:style w:type="character" w:styleId="842" w:customStyle="1">
    <w:name w:val="Heading 1 Char"/>
    <w:link w:val="830"/>
    <w:uiPriority w:val="9"/>
    <w:pPr>
      <w:pBdr/>
      <w:spacing/>
      <w:ind/>
    </w:pPr>
    <w:rPr>
      <w:b/>
      <w:sz w:val="28"/>
      <w:szCs w:val="28"/>
      <w:lang w:val="en-GB" w:eastAsia="en-US"/>
    </w:rPr>
  </w:style>
  <w:style w:type="character" w:styleId="843">
    <w:name w:val="annotation reference"/>
    <w:uiPriority w:val="99"/>
    <w:unhideWhenUsed/>
    <w:pPr>
      <w:pBdr/>
      <w:spacing/>
      <w:ind/>
    </w:pPr>
    <w:rPr>
      <w:sz w:val="16"/>
      <w:szCs w:val="16"/>
      <w:lang w:val="en-US"/>
    </w:rPr>
  </w:style>
  <w:style w:type="paragraph" w:styleId="844">
    <w:name w:val="annotation text"/>
    <w:basedOn w:val="829"/>
    <w:link w:val="845"/>
    <w:uiPriority w:val="99"/>
    <w:unhideWhenUsed/>
    <w:pPr>
      <w:pBdr/>
      <w:spacing/>
      <w:ind/>
    </w:pPr>
    <w:rPr>
      <w:sz w:val="20"/>
      <w:szCs w:val="20"/>
      <w:lang w:val="en-US"/>
    </w:rPr>
  </w:style>
  <w:style w:type="character" w:styleId="845" w:customStyle="1">
    <w:name w:val="Comment Text Char"/>
    <w:link w:val="844"/>
    <w:uiPriority w:val="99"/>
    <w:pPr>
      <w:pBdr/>
      <w:spacing/>
      <w:ind/>
    </w:pPr>
    <w:rPr>
      <w:lang w:val="en-US" w:eastAsia="en-US"/>
    </w:rPr>
  </w:style>
  <w:style w:type="paragraph" w:styleId="846">
    <w:name w:val="annotation subject"/>
    <w:basedOn w:val="844"/>
    <w:next w:val="844"/>
    <w:link w:val="847"/>
    <w:uiPriority w:val="99"/>
    <w:semiHidden/>
    <w:unhideWhenUsed/>
    <w:pPr>
      <w:pBdr/>
      <w:spacing/>
      <w:ind/>
    </w:pPr>
    <w:rPr>
      <w:b/>
      <w:bCs/>
    </w:rPr>
  </w:style>
  <w:style w:type="character" w:styleId="847" w:customStyle="1">
    <w:name w:val="Comment Subject Char"/>
    <w:link w:val="846"/>
    <w:uiPriority w:val="99"/>
    <w:semiHidden/>
    <w:pPr>
      <w:pBdr/>
      <w:spacing/>
      <w:ind/>
    </w:pPr>
    <w:rPr>
      <w:b/>
      <w:bCs/>
      <w:lang w:val="en-GB" w:eastAsia="en-US"/>
    </w:rPr>
  </w:style>
  <w:style w:type="paragraph" w:styleId="848">
    <w:name w:val="Balloon Text"/>
    <w:basedOn w:val="829"/>
    <w:link w:val="849"/>
    <w:uiPriority w:val="99"/>
    <w:semiHidden/>
    <w:unhideWhenUsed/>
    <w:pPr>
      <w:pBdr/>
      <w:spacing w:after="0" w:line="240" w:lineRule="auto"/>
      <w:ind/>
    </w:pPr>
    <w:rPr>
      <w:rFonts w:ascii="Tahoma" w:hAnsi="Tahoma"/>
      <w:sz w:val="16"/>
      <w:szCs w:val="16"/>
    </w:rPr>
  </w:style>
  <w:style w:type="character" w:styleId="849" w:customStyle="1">
    <w:name w:val="Balloon Text Char"/>
    <w:link w:val="848"/>
    <w:uiPriority w:val="99"/>
    <w:semiHidden/>
    <w:pPr>
      <w:pBdr/>
      <w:spacing/>
      <w:ind/>
    </w:pPr>
    <w:rPr>
      <w:rFonts w:ascii="Tahoma" w:hAnsi="Tahoma" w:cs="Tahoma"/>
      <w:sz w:val="16"/>
      <w:szCs w:val="16"/>
      <w:lang w:val="en-GB" w:eastAsia="en-US"/>
    </w:rPr>
  </w:style>
  <w:style w:type="character" w:styleId="850" w:customStyle="1">
    <w:name w:val="Heading 2 Char"/>
    <w:link w:val="831"/>
    <w:uiPriority w:val="9"/>
    <w:pPr>
      <w:pBdr/>
      <w:spacing/>
      <w:ind/>
    </w:pPr>
    <w:rPr>
      <w:b/>
      <w:sz w:val="24"/>
      <w:szCs w:val="24"/>
      <w:lang w:val="en-GB" w:eastAsia="en-US"/>
    </w:rPr>
  </w:style>
  <w:style w:type="character" w:styleId="851" w:customStyle="1">
    <w:name w:val="Heading 3 Char"/>
    <w:link w:val="832"/>
    <w:uiPriority w:val="9"/>
    <w:pPr>
      <w:pBdr/>
      <w:spacing/>
      <w:ind/>
    </w:pPr>
    <w:rPr>
      <w:b/>
      <w:i/>
      <w:sz w:val="22"/>
      <w:szCs w:val="22"/>
      <w:lang w:val="en-GB" w:eastAsia="en-US"/>
    </w:rPr>
  </w:style>
  <w:style w:type="paragraph" w:styleId="852">
    <w:name w:val="toc 1"/>
    <w:basedOn w:val="829"/>
    <w:next w:val="829"/>
    <w:uiPriority w:val="39"/>
    <w:unhideWhenUsed/>
    <w:pPr>
      <w:pBdr/>
      <w:spacing w:before="120" w:after="120"/>
      <w:ind/>
    </w:pPr>
    <w:rPr>
      <w:b/>
      <w:bCs/>
      <w:caps/>
      <w:sz w:val="20"/>
      <w:szCs w:val="20"/>
    </w:rPr>
  </w:style>
  <w:style w:type="paragraph" w:styleId="853">
    <w:name w:val="toc 2"/>
    <w:basedOn w:val="829"/>
    <w:next w:val="829"/>
    <w:uiPriority w:val="39"/>
    <w:unhideWhenUsed/>
    <w:pPr>
      <w:pBdr/>
      <w:spacing w:after="0"/>
      <w:ind w:left="220"/>
    </w:pPr>
    <w:rPr>
      <w:smallCaps/>
      <w:sz w:val="20"/>
      <w:szCs w:val="20"/>
    </w:rPr>
  </w:style>
  <w:style w:type="paragraph" w:styleId="854">
    <w:name w:val="toc 3"/>
    <w:basedOn w:val="829"/>
    <w:next w:val="829"/>
    <w:uiPriority w:val="39"/>
    <w:unhideWhenUsed/>
    <w:pPr>
      <w:pBdr/>
      <w:spacing w:after="0"/>
      <w:ind w:left="440"/>
    </w:pPr>
    <w:rPr>
      <w:i/>
      <w:iCs/>
      <w:sz w:val="20"/>
      <w:szCs w:val="20"/>
    </w:rPr>
  </w:style>
  <w:style w:type="paragraph" w:styleId="855">
    <w:name w:val="toc 4"/>
    <w:basedOn w:val="829"/>
    <w:next w:val="829"/>
    <w:uiPriority w:val="39"/>
    <w:unhideWhenUsed/>
    <w:pPr>
      <w:pBdr/>
      <w:spacing w:after="0"/>
      <w:ind w:left="660"/>
    </w:pPr>
    <w:rPr>
      <w:sz w:val="18"/>
      <w:szCs w:val="18"/>
    </w:rPr>
  </w:style>
  <w:style w:type="paragraph" w:styleId="856">
    <w:name w:val="toc 5"/>
    <w:basedOn w:val="829"/>
    <w:next w:val="829"/>
    <w:uiPriority w:val="39"/>
    <w:unhideWhenUsed/>
    <w:pPr>
      <w:pBdr/>
      <w:spacing w:after="0"/>
      <w:ind w:left="880"/>
    </w:pPr>
    <w:rPr>
      <w:sz w:val="18"/>
      <w:szCs w:val="18"/>
    </w:rPr>
  </w:style>
  <w:style w:type="paragraph" w:styleId="857">
    <w:name w:val="toc 6"/>
    <w:basedOn w:val="829"/>
    <w:next w:val="829"/>
    <w:uiPriority w:val="39"/>
    <w:unhideWhenUsed/>
    <w:pPr>
      <w:pBdr/>
      <w:spacing w:after="0"/>
      <w:ind w:left="1100"/>
    </w:pPr>
    <w:rPr>
      <w:sz w:val="18"/>
      <w:szCs w:val="18"/>
    </w:rPr>
  </w:style>
  <w:style w:type="paragraph" w:styleId="858">
    <w:name w:val="toc 7"/>
    <w:basedOn w:val="829"/>
    <w:next w:val="829"/>
    <w:uiPriority w:val="39"/>
    <w:unhideWhenUsed/>
    <w:pPr>
      <w:pBdr/>
      <w:spacing w:after="0"/>
      <w:ind w:left="1320"/>
    </w:pPr>
    <w:rPr>
      <w:sz w:val="18"/>
      <w:szCs w:val="18"/>
    </w:rPr>
  </w:style>
  <w:style w:type="paragraph" w:styleId="859">
    <w:name w:val="toc 8"/>
    <w:basedOn w:val="829"/>
    <w:next w:val="829"/>
    <w:uiPriority w:val="39"/>
    <w:unhideWhenUsed/>
    <w:pPr>
      <w:pBdr/>
      <w:spacing w:after="0"/>
      <w:ind w:left="1540"/>
    </w:pPr>
    <w:rPr>
      <w:sz w:val="18"/>
      <w:szCs w:val="18"/>
    </w:rPr>
  </w:style>
  <w:style w:type="paragraph" w:styleId="860">
    <w:name w:val="toc 9"/>
    <w:basedOn w:val="829"/>
    <w:next w:val="829"/>
    <w:uiPriority w:val="39"/>
    <w:unhideWhenUsed/>
    <w:pPr>
      <w:pBdr/>
      <w:spacing w:after="0"/>
      <w:ind w:left="1760"/>
    </w:pPr>
    <w:rPr>
      <w:sz w:val="18"/>
      <w:szCs w:val="18"/>
    </w:rPr>
  </w:style>
  <w:style w:type="paragraph" w:styleId="861">
    <w:name w:val="TOC Heading"/>
    <w:basedOn w:val="830"/>
    <w:next w:val="829"/>
    <w:uiPriority w:val="39"/>
    <w:semiHidden/>
    <w:unhideWhenUsed/>
    <w:qFormat/>
    <w:pPr>
      <w:keepNext w:val="true"/>
      <w:keepLines w:val="true"/>
      <w:numPr>
        <w:numId w:val="0"/>
      </w:numPr>
      <w:pBdr/>
      <w:spacing w:before="480" w:after="0"/>
      <w:ind/>
      <w:outlineLvl w:val="9"/>
    </w:pPr>
    <w:rPr>
      <w:rFonts w:ascii="Cambria" w:hAnsi="Cambria" w:eastAsia="Times New Roman"/>
      <w:bCs/>
      <w:color w:val="365f91"/>
      <w:lang w:val="en-US"/>
    </w:rPr>
  </w:style>
  <w:style w:type="paragraph" w:styleId="862">
    <w:name w:val="Revision"/>
    <w:hidden/>
    <w:uiPriority w:val="99"/>
    <w:semiHidden/>
    <w:pPr>
      <w:pBdr/>
      <w:spacing/>
      <w:ind/>
    </w:pPr>
    <w:rPr>
      <w:sz w:val="22"/>
      <w:szCs w:val="22"/>
      <w:lang w:val="en-GB" w:eastAsia="en-US"/>
    </w:rPr>
  </w:style>
  <w:style w:type="paragraph" w:styleId="863">
    <w:name w:val="List Paragraph"/>
    <w:basedOn w:val="829"/>
    <w:uiPriority w:val="34"/>
    <w:qFormat/>
    <w:pPr>
      <w:pBdr/>
      <w:spacing/>
      <w:ind w:left="720"/>
      <w:contextualSpacing w:val="true"/>
    </w:pPr>
  </w:style>
  <w:style w:type="character" w:styleId="864">
    <w:name w:val="FollowedHyperlink"/>
    <w:basedOn w:val="833"/>
    <w:uiPriority w:val="99"/>
    <w:semiHidden/>
    <w:unhideWhenUsed/>
    <w:pPr>
      <w:pBdr/>
      <w:spacing/>
      <w:ind/>
    </w:pPr>
    <w:rPr>
      <w:color w:val="800080" w:themeColor="followedHyperlink"/>
      <w:u w:val="single"/>
    </w:rPr>
  </w:style>
  <w:style w:type="character" w:styleId="865">
    <w:name w:val="Unresolved Mention"/>
    <w:basedOn w:val="833"/>
    <w:uiPriority w:val="99"/>
    <w:semiHidden/>
    <w:unhideWhenUsed/>
    <w:pPr>
      <w:pBdr/>
      <w:spacing/>
      <w:ind/>
    </w:pPr>
    <w:rPr>
      <w:color w:val="808080"/>
      <w:shd w:val="clear" w:color="auto" w:fill="e6e6e6"/>
    </w:rPr>
  </w:style>
</w:styles>
</file>

<file path=word/webSettings.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2.xml" Id="rId13" /><Relationship Type="http://schemas.openxmlformats.org/officeDocument/2006/relationships/webSettings" Target="webSettings.xml" Id="rId3" /><Relationship Type="http://schemas.openxmlformats.org/officeDocument/2006/relationships/footnotes" Target="footnotes.xml" Id="rId7" /><Relationship Type="http://schemas.openxmlformats.org/officeDocument/2006/relationships/customXml" Target="../customXml/item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numbering" Target="numbering.xml" Id="rId6" /><Relationship Type="http://schemas.openxmlformats.org/officeDocument/2006/relationships/footer" Target="footer1.xml" Id="rId11" /><Relationship Type="http://schemas.openxmlformats.org/officeDocument/2006/relationships/theme" Target="theme/theme1.xml" Id="rId5" /><Relationship Type="http://schemas.openxmlformats.org/officeDocument/2006/relationships/customXml" Target="../customXml/item4.xml" Id="rId15" /><Relationship Type="http://schemas.openxmlformats.org/officeDocument/2006/relationships/header" Target="header2.xml" Id="rId10" /><Relationship Type="http://schemas.openxmlformats.org/officeDocument/2006/relationships/fontTable" Target="fontTable.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2.png" Id="rId1571966379"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f9909d-2ca0-479e-9cd0-4445d0b28931">
      <Terms xmlns="http://schemas.microsoft.com/office/infopath/2007/PartnerControls"/>
    </lcf76f155ced4ddcb4097134ff3c332f>
    <TaxCatchAll xmlns="e521ba48-1715-4574-bb48-b63f655e3b4c" xsi:nil="true"/>
  </documentManagement>
</p:properties>
</file>

<file path=customXml/itemProps1.xml><?xml version="1.0" encoding="utf-8"?>
<ds:datastoreItem xmlns:ds="http://schemas.openxmlformats.org/officeDocument/2006/customXml" ds:itemID="{43653774-E623-4462-83DA-B5784EF090CD}">
  <ds:schemaRefs>
    <ds:schemaRef ds:uri="http://schemas.openxmlformats.org/officeDocument/2006/bibliography"/>
  </ds:schemaRefs>
</ds:datastoreItem>
</file>

<file path=customXml/itemProps2.xml><?xml version="1.0" encoding="utf-8"?>
<ds:datastoreItem xmlns:ds="http://schemas.openxmlformats.org/officeDocument/2006/customXml" ds:itemID="{9670317B-EDC9-4A0F-AF0A-6B2A0466F187}"/>
</file>

<file path=customXml/itemProps3.xml><?xml version="1.0" encoding="utf-8"?>
<ds:datastoreItem xmlns:ds="http://schemas.openxmlformats.org/officeDocument/2006/customXml" ds:itemID="{778CCD0D-A89C-409B-AFF8-5CA6ACE65604}"/>
</file>

<file path=customXml/itemProps4.xml><?xml version="1.0" encoding="utf-8"?>
<ds:datastoreItem xmlns:ds="http://schemas.openxmlformats.org/officeDocument/2006/customXml" ds:itemID="{F3AB8541-D6DA-4059-B857-742CBBAC4A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0</ap:ScaleCrop>
  <ap:Manager/>
  <ap:Company>Advisera Expert Solutions Ltd</ap:Company>
  <ap:SharedDoc>0</ap:SharedDoc>
  <ap:HyperlinkBase/>
  <ap:HyperlinksChanged>0</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Policy for Data Privacy in the Cloud</dc:title>
  <dc:subject/>
  <dc:creator>Advisera</dc:creator>
  <keywords/>
  <dc:description>©2023 This template may be used by clients of Advisera Expert Solutions Ltd. www.advisera.com in accordance with the License Agreement.</dc:description>
  <lastModifiedBy>Gali Sheskin</lastModifiedBy>
  <revision>10</revision>
  <dcterms:created xsi:type="dcterms:W3CDTF">2023-02-01T18:12:00.0000000Z</dcterms:created>
  <dcterms:modified xsi:type="dcterms:W3CDTF">2026-06-23T18:05:25.5294001Z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0x010100F9AF2F63E8B2CD448AE76E168C8C0CE6</vt:lpwstr>
  </property>
  <property fmtid="{D5CDD505-2E9C-101B-9397-08002B2CF9AE}" pid="3" name="MediaServiceImageTags">
    <vt:lpwstr/>
  </property>
</Properties>
</file>